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E507">
      <w:pPr>
        <w:pStyle w:val="6"/>
        <w:spacing w:before="0"/>
      </w:pPr>
      <w:r>
        <w:rPr>
          <w:rFonts w:hint="eastAsia"/>
        </w:rPr>
        <w:t>项目需求书（货物</w:t>
      </w:r>
      <w:r>
        <w:t>-</w:t>
      </w:r>
      <w:r>
        <w:rPr>
          <w:rFonts w:hint="eastAsia"/>
        </w:rPr>
        <w:t>通用类）</w:t>
      </w:r>
    </w:p>
    <w:p w14:paraId="2033B5E2">
      <w:pPr>
        <w:spacing w:line="360" w:lineRule="auto"/>
        <w:ind w:firstLine="482" w:firstLineChars="200"/>
        <w:rPr>
          <w:rFonts w:ascii="宋体" w:hAnsi="宋体"/>
          <w:b/>
          <w:sz w:val="24"/>
        </w:rPr>
      </w:pPr>
      <w:r>
        <w:rPr>
          <w:rFonts w:hint="eastAsia" w:ascii="宋体" w:hAnsi="宋体"/>
          <w:b/>
          <w:sz w:val="24"/>
        </w:rPr>
        <w:t>一、项目背景</w:t>
      </w:r>
    </w:p>
    <w:p w14:paraId="3FE385EA">
      <w:pPr>
        <w:spacing w:line="360" w:lineRule="auto"/>
        <w:ind w:firstLine="480" w:firstLineChars="200"/>
        <w:rPr>
          <w:rFonts w:ascii="宋体" w:hAnsi="宋体"/>
          <w:sz w:val="24"/>
        </w:rPr>
      </w:pPr>
      <w:r>
        <w:rPr>
          <w:rFonts w:hint="eastAsia" w:ascii="宋体" w:hAnsi="宋体"/>
          <w:sz w:val="24"/>
        </w:rPr>
        <w:t xml:space="preserve">1. </w:t>
      </w:r>
      <w:r>
        <w:rPr>
          <w:rFonts w:ascii="宋体" w:hAnsi="宋体"/>
          <w:sz w:val="24"/>
        </w:rPr>
        <w:t>项目名称：</w:t>
      </w:r>
      <w:r>
        <w:rPr>
          <w:rFonts w:hint="eastAsia" w:ascii="宋体" w:hAnsi="宋体"/>
          <w:sz w:val="24"/>
        </w:rPr>
        <w:t>天津中医药大学产教融合楼实验室基础设施采购项目</w:t>
      </w:r>
    </w:p>
    <w:p w14:paraId="6649385D">
      <w:pPr>
        <w:ind w:firstLine="480" w:firstLineChars="200"/>
        <w:rPr>
          <w:rFonts w:ascii="宋体" w:hAnsi="宋体"/>
          <w:sz w:val="24"/>
        </w:rPr>
      </w:pPr>
      <w:r>
        <w:rPr>
          <w:rFonts w:hint="eastAsia" w:ascii="宋体" w:hAnsi="宋体"/>
          <w:sz w:val="24"/>
        </w:rPr>
        <w:t>2. 项目背景：</w:t>
      </w:r>
      <w:bookmarkStart w:id="0" w:name="OLE_LINK1"/>
      <w:r>
        <w:rPr>
          <w:rFonts w:hint="eastAsia" w:ascii="宋体" w:hAnsi="宋体"/>
          <w:sz w:val="24"/>
        </w:rPr>
        <w:t>产教融合楼建立完成需要搭建新的实验室平台，以满足科研实验室日常运行需求，旨在提升实验室硬件条件，保障实验环境安全、规范、高效，满足生命科学、中医药等领域的科研实验需求。故需要采购实验室基础设施，以保证后续产教融合楼的使用。</w:t>
      </w:r>
    </w:p>
    <w:bookmarkEnd w:id="0"/>
    <w:p w14:paraId="220440CC">
      <w:pPr>
        <w:spacing w:line="360" w:lineRule="auto"/>
        <w:ind w:firstLine="482" w:firstLineChars="200"/>
        <w:rPr>
          <w:b/>
          <w:sz w:val="24"/>
        </w:rPr>
      </w:pPr>
      <w:r>
        <w:rPr>
          <w:b/>
          <w:sz w:val="24"/>
        </w:rPr>
        <w:t>二、项目预算</w:t>
      </w:r>
    </w:p>
    <w:p w14:paraId="18369300">
      <w:pPr>
        <w:spacing w:line="360" w:lineRule="auto"/>
        <w:ind w:firstLine="480" w:firstLineChars="200"/>
        <w:rPr>
          <w:sz w:val="24"/>
        </w:rPr>
      </w:pPr>
      <w:r>
        <w:rPr>
          <w:sz w:val="24"/>
        </w:rPr>
        <w:t>第一包：</w:t>
      </w:r>
      <w:r>
        <w:rPr>
          <w:rFonts w:hint="eastAsia" w:ascii="宋体" w:hAnsi="宋体" w:cs="宋体"/>
        </w:rPr>
        <w:t>171.1944</w:t>
      </w:r>
      <w:r>
        <w:rPr>
          <w:rFonts w:hint="eastAsia"/>
          <w:sz w:val="24"/>
        </w:rPr>
        <w:t>万</w:t>
      </w:r>
      <w:r>
        <w:rPr>
          <w:sz w:val="24"/>
        </w:rPr>
        <w:t>元；</w:t>
      </w:r>
    </w:p>
    <w:p w14:paraId="00B22605">
      <w:pPr>
        <w:spacing w:line="360" w:lineRule="auto"/>
        <w:ind w:firstLine="480" w:firstLineChars="200"/>
        <w:rPr>
          <w:sz w:val="24"/>
        </w:rPr>
      </w:pPr>
      <w:r>
        <w:rPr>
          <w:sz w:val="24"/>
        </w:rPr>
        <w:t>……….</w:t>
      </w:r>
    </w:p>
    <w:p w14:paraId="4D693813">
      <w:pPr>
        <w:spacing w:line="360" w:lineRule="auto"/>
        <w:ind w:firstLine="482" w:firstLineChars="200"/>
        <w:rPr>
          <w:rFonts w:ascii="宋体" w:hAnsi="宋体"/>
          <w:b/>
          <w:sz w:val="24"/>
        </w:rPr>
      </w:pPr>
      <w:r>
        <w:rPr>
          <w:rFonts w:hint="eastAsia" w:ascii="宋体" w:hAnsi="宋体"/>
          <w:b/>
          <w:sz w:val="24"/>
        </w:rPr>
        <w:t>三、资格要求</w:t>
      </w:r>
    </w:p>
    <w:p w14:paraId="58991BD3">
      <w:pPr>
        <w:spacing w:line="360" w:lineRule="auto"/>
        <w:ind w:firstLine="480" w:firstLineChars="200"/>
        <w:rPr>
          <w:rFonts w:ascii="宋体" w:hAnsi="宋体"/>
          <w:sz w:val="24"/>
        </w:rPr>
      </w:pPr>
      <w:r>
        <w:rPr>
          <w:rFonts w:hint="eastAsia" w:ascii="宋体" w:hAnsi="宋体"/>
          <w:sz w:val="24"/>
        </w:rPr>
        <w:t>（一）</w:t>
      </w:r>
      <w:r>
        <w:rPr>
          <w:rFonts w:hint="eastAsia" w:ascii="宋体" w:hAnsi="宋体"/>
          <w:color w:val="FF0000"/>
          <w:sz w:val="24"/>
        </w:rPr>
        <w:t>根据现行法律法规的要求，设置供应商投标的特定资格条件</w:t>
      </w:r>
      <w:r>
        <w:rPr>
          <w:rFonts w:hint="eastAsia" w:ascii="宋体" w:hAnsi="宋体"/>
          <w:sz w:val="24"/>
        </w:rPr>
        <w:t>。</w:t>
      </w:r>
    </w:p>
    <w:p w14:paraId="29217DE3">
      <w:pPr>
        <w:spacing w:line="360" w:lineRule="auto"/>
        <w:ind w:firstLine="480" w:firstLineChars="200"/>
        <w:rPr>
          <w:rFonts w:ascii="宋体" w:hAnsi="宋体"/>
          <w:sz w:val="24"/>
        </w:rPr>
      </w:pPr>
      <w:r>
        <w:rPr>
          <w:rFonts w:hint="eastAsia" w:ascii="宋体" w:hAnsi="宋体"/>
          <w:sz w:val="24"/>
        </w:rPr>
        <w:t>1.投标人须提供有效期内的营业执照或事业单位法人证书或民办非企业单位登记证书或社会团体法人登记证书或基金会法人登记证书；</w:t>
      </w:r>
    </w:p>
    <w:p w14:paraId="04E72EBB">
      <w:pPr>
        <w:spacing w:line="360" w:lineRule="auto"/>
        <w:ind w:firstLine="480" w:firstLineChars="200"/>
        <w:rPr>
          <w:rFonts w:ascii="宋体" w:hAnsi="宋体"/>
          <w:sz w:val="24"/>
        </w:rPr>
      </w:pPr>
      <w:r>
        <w:rPr>
          <w:rFonts w:hint="eastAsia" w:ascii="宋体" w:hAnsi="宋体"/>
          <w:sz w:val="24"/>
        </w:rPr>
        <w:t>2.投标人须提供经会计师事务所审计的2025年度财务审计报告或投标文件开启时间前6个月以内银行出具的资信证明；</w:t>
      </w:r>
    </w:p>
    <w:p w14:paraId="33F8776D">
      <w:pPr>
        <w:spacing w:line="360" w:lineRule="auto"/>
        <w:ind w:firstLine="480" w:firstLineChars="200"/>
        <w:rPr>
          <w:rFonts w:ascii="宋体" w:hAnsi="宋体"/>
          <w:sz w:val="24"/>
        </w:rPr>
      </w:pPr>
      <w:r>
        <w:rPr>
          <w:rFonts w:hint="eastAsia" w:ascii="宋体" w:hAnsi="宋体"/>
          <w:sz w:val="24"/>
        </w:rPr>
        <w:t>3.投标人须提供2026年至少一个月缴纳社会保障资金的相关证明材料，依法不需要缴纳社会保障资金或由第三方缴纳社会保障资金的的提供相应文件说明；</w:t>
      </w:r>
    </w:p>
    <w:p w14:paraId="5E0A72FA">
      <w:pPr>
        <w:spacing w:line="360" w:lineRule="auto"/>
        <w:ind w:firstLine="480" w:firstLineChars="200"/>
        <w:rPr>
          <w:rFonts w:ascii="宋体" w:hAnsi="宋体"/>
          <w:sz w:val="24"/>
        </w:rPr>
      </w:pPr>
      <w:r>
        <w:rPr>
          <w:rFonts w:hint="eastAsia" w:ascii="宋体" w:hAnsi="宋体"/>
          <w:sz w:val="24"/>
        </w:rPr>
        <w:t xml:space="preserve">4.投标人须提供2025年至少一个月依法纳税的相关证明材料，依法免税或者零申报的提供相应文件说明； </w:t>
      </w:r>
    </w:p>
    <w:p w14:paraId="51E9CD9E">
      <w:pPr>
        <w:spacing w:line="360" w:lineRule="auto"/>
        <w:ind w:firstLine="480" w:firstLineChars="200"/>
        <w:rPr>
          <w:rFonts w:ascii="宋体" w:hAnsi="宋体"/>
          <w:sz w:val="24"/>
        </w:rPr>
      </w:pPr>
      <w:r>
        <w:rPr>
          <w:rFonts w:hint="eastAsia" w:ascii="宋体" w:hAnsi="宋体"/>
          <w:sz w:val="24"/>
        </w:rPr>
        <w:t xml:space="preserve">5.投标人须提供投标截止时间前3年在经营活动中没有重大违法记录的书面声明（截至投标截止时间成立不足3年的投标人可提供自成立以来无重大违法记录的书面声明）； </w:t>
      </w:r>
    </w:p>
    <w:p w14:paraId="1181F65A">
      <w:pPr>
        <w:spacing w:line="360" w:lineRule="auto"/>
        <w:ind w:firstLine="480" w:firstLineChars="200"/>
        <w:rPr>
          <w:rFonts w:ascii="宋体" w:hAnsi="宋体"/>
          <w:sz w:val="24"/>
        </w:rPr>
      </w:pPr>
      <w:r>
        <w:rPr>
          <w:rFonts w:hint="eastAsia" w:ascii="宋体" w:hAnsi="宋体"/>
          <w:sz w:val="24"/>
        </w:rPr>
        <w:t>6.投标人须提供法定代表人授权书；</w:t>
      </w:r>
    </w:p>
    <w:p w14:paraId="551C5D56">
      <w:pPr>
        <w:spacing w:line="360" w:lineRule="auto"/>
        <w:ind w:firstLine="480" w:firstLineChars="200"/>
        <w:rPr>
          <w:sz w:val="24"/>
        </w:rPr>
      </w:pPr>
      <w:r>
        <w:rPr>
          <w:rFonts w:hint="eastAsia" w:ascii="宋体" w:hAnsi="宋体"/>
          <w:sz w:val="24"/>
        </w:rPr>
        <w:t>7.按照《财政部关于在政府采购活动中查询及使用信用记录有关问题的通知》（财库〔2016〕125号）的要求，开标后于资格审查阶段查询“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r>
        <w:rPr>
          <w:rFonts w:hint="eastAsia"/>
          <w:sz w:val="24"/>
        </w:rPr>
        <w:t>（二）投标人须具备《中华人民共和国政府采购法》第二十二条第一款规定的条件。</w:t>
      </w:r>
    </w:p>
    <w:p w14:paraId="3C3598D0">
      <w:pPr>
        <w:spacing w:line="360" w:lineRule="auto"/>
        <w:ind w:firstLine="480" w:firstLineChars="200"/>
        <w:rPr>
          <w:sz w:val="24"/>
        </w:rPr>
      </w:pPr>
      <w:r>
        <w:rPr>
          <w:rFonts w:hint="eastAsia"/>
          <w:sz w:val="24"/>
        </w:rPr>
        <w:t>（三）本项目</w:t>
      </w:r>
      <w:r>
        <w:rPr>
          <w:rFonts w:hint="eastAsia"/>
          <w:color w:val="FF0000"/>
          <w:sz w:val="24"/>
        </w:rPr>
        <w:t>不接受</w:t>
      </w:r>
      <w:r>
        <w:rPr>
          <w:rFonts w:hint="eastAsia"/>
          <w:sz w:val="24"/>
        </w:rPr>
        <w:t>联合体。</w:t>
      </w:r>
    </w:p>
    <w:p w14:paraId="6F3444F7">
      <w:pPr>
        <w:spacing w:line="360" w:lineRule="auto"/>
        <w:ind w:firstLine="482" w:firstLineChars="200"/>
        <w:rPr>
          <w:rFonts w:ascii="宋体" w:hAnsi="宋体"/>
          <w:b/>
          <w:sz w:val="24"/>
        </w:rPr>
      </w:pPr>
      <w:r>
        <w:rPr>
          <w:rFonts w:hint="eastAsia" w:ascii="宋体" w:hAnsi="宋体"/>
          <w:b/>
          <w:sz w:val="24"/>
        </w:rPr>
        <w:t>四、技术要求</w:t>
      </w:r>
    </w:p>
    <w:p w14:paraId="4346BD07">
      <w:pPr>
        <w:spacing w:line="360" w:lineRule="auto"/>
        <w:ind w:firstLine="480" w:firstLineChars="200"/>
        <w:rPr>
          <w:rFonts w:ascii="宋体" w:hAnsi="宋体"/>
          <w:sz w:val="24"/>
        </w:rPr>
      </w:pPr>
      <w:r>
        <w:rPr>
          <w:rFonts w:hint="eastAsia" w:ascii="宋体" w:hAnsi="宋体"/>
          <w:sz w:val="24"/>
        </w:rPr>
        <w:t xml:space="preserve">第一包：实验室基础设施等 </w:t>
      </w:r>
    </w:p>
    <w:tbl>
      <w:tblPr>
        <w:tblStyle w:val="7"/>
        <w:tblW w:w="10496" w:type="dxa"/>
        <w:jc w:val="center"/>
        <w:tblLayout w:type="autofit"/>
        <w:tblCellMar>
          <w:top w:w="0" w:type="dxa"/>
          <w:left w:w="108" w:type="dxa"/>
          <w:bottom w:w="0" w:type="dxa"/>
          <w:right w:w="108" w:type="dxa"/>
        </w:tblCellMar>
      </w:tblPr>
      <w:tblGrid>
        <w:gridCol w:w="469"/>
        <w:gridCol w:w="576"/>
        <w:gridCol w:w="4759"/>
        <w:gridCol w:w="469"/>
        <w:gridCol w:w="469"/>
        <w:gridCol w:w="1206"/>
        <w:gridCol w:w="1316"/>
        <w:gridCol w:w="680"/>
        <w:gridCol w:w="552"/>
      </w:tblGrid>
      <w:tr w14:paraId="0E34F3D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3AEDBEB1">
            <w:pPr>
              <w:widowControl/>
              <w:snapToGrid w:val="0"/>
              <w:jc w:val="center"/>
              <w:textAlignment w:val="center"/>
              <w:rPr>
                <w:rFonts w:ascii="方正仿宋_GB2312" w:hAnsi="方正仿宋_GB2312" w:eastAsia="方正仿宋_GB2312" w:cs="方正仿宋_GB2312"/>
                <w:color w:val="0F1115"/>
                <w:sz w:val="24"/>
              </w:rPr>
            </w:pPr>
            <w:r>
              <w:rPr>
                <w:rFonts w:hint="eastAsia" w:ascii="方正仿宋_GB2312" w:hAnsi="方正仿宋_GB2312" w:eastAsia="方正仿宋_GB2312" w:cs="方正仿宋_GB2312"/>
                <w:color w:val="000000" w:themeColor="text1"/>
                <w:kern w:val="0"/>
                <w:sz w:val="24"/>
                <w:lang w:bidi="ar"/>
                <w14:textFill>
                  <w14:solidFill>
                    <w14:schemeClr w14:val="tx1"/>
                  </w14:solidFill>
                </w14:textFill>
              </w:rPr>
              <w:t>序号</w:t>
            </w:r>
          </w:p>
        </w:tc>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4DB94D6A">
            <w:pPr>
              <w:widowControl/>
              <w:snapToGrid w:val="0"/>
              <w:jc w:val="center"/>
              <w:textAlignment w:val="center"/>
              <w:rPr>
                <w:rFonts w:ascii="方正仿宋_GB2312" w:hAnsi="方正仿宋_GB2312" w:eastAsia="方正仿宋_GB2312" w:cs="方正仿宋_GB2312"/>
                <w:color w:val="0F1115"/>
                <w:sz w:val="24"/>
              </w:rPr>
            </w:pPr>
            <w:r>
              <w:rPr>
                <w:rFonts w:hint="eastAsia" w:ascii="方正仿宋_GB2312" w:hAnsi="方正仿宋_GB2312" w:eastAsia="方正仿宋_GB2312" w:cs="方正仿宋_GB2312"/>
                <w:color w:val="000000" w:themeColor="text1"/>
                <w:kern w:val="0"/>
                <w:sz w:val="24"/>
                <w:lang w:bidi="ar"/>
                <w14:textFill>
                  <w14:solidFill>
                    <w14:schemeClr w14:val="tx1"/>
                  </w14:solidFill>
                </w14:textFill>
              </w:rPr>
              <w:t>货物名称</w:t>
            </w:r>
          </w:p>
        </w:tc>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58DBAF6D">
            <w:pPr>
              <w:widowControl/>
              <w:snapToGrid w:val="0"/>
              <w:jc w:val="center"/>
              <w:textAlignment w:val="center"/>
              <w:rPr>
                <w:rFonts w:ascii="方正仿宋_GB2312" w:hAnsi="方正仿宋_GB2312" w:eastAsia="方正仿宋_GB2312" w:cs="方正仿宋_GB2312"/>
                <w:color w:val="0F1115"/>
                <w:sz w:val="24"/>
              </w:rPr>
            </w:pPr>
            <w:r>
              <w:rPr>
                <w:rFonts w:hint="eastAsia" w:ascii="方正仿宋_GB2312" w:hAnsi="方正仿宋_GB2312" w:eastAsia="方正仿宋_GB2312" w:cs="方正仿宋_GB2312"/>
                <w:color w:val="000000" w:themeColor="text1"/>
                <w:kern w:val="0"/>
                <w:sz w:val="24"/>
                <w:lang w:bidi="ar"/>
                <w14:textFill>
                  <w14:solidFill>
                    <w14:schemeClr w14:val="tx1"/>
                  </w14:solidFill>
                </w14:textFill>
              </w:rPr>
              <w:t>技术要求</w:t>
            </w:r>
          </w:p>
        </w:tc>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7EE5D338">
            <w:pPr>
              <w:widowControl/>
              <w:snapToGrid w:val="0"/>
              <w:jc w:val="center"/>
              <w:textAlignment w:val="center"/>
              <w:rPr>
                <w:rFonts w:hint="eastAsia" w:ascii="方正仿宋_GB2312" w:hAnsi="方正仿宋_GB2312" w:eastAsia="方正仿宋_GB2312" w:cs="方正仿宋_GB2312"/>
                <w:color w:val="0F1115"/>
                <w:sz w:val="24"/>
                <w:lang w:eastAsia="zh-CN"/>
              </w:rPr>
            </w:pPr>
            <w:r>
              <w:rPr>
                <w:rFonts w:hint="eastAsia" w:ascii="方正仿宋_GB2312" w:hAnsi="方正仿宋_GB2312" w:eastAsia="方正仿宋_GB2312" w:cs="方正仿宋_GB2312"/>
                <w:color w:val="000000" w:themeColor="text1"/>
                <w:kern w:val="0"/>
                <w:sz w:val="24"/>
                <w:lang w:val="en-US" w:eastAsia="zh-CN" w:bidi="ar"/>
                <w14:textFill>
                  <w14:solidFill>
                    <w14:schemeClr w14:val="tx1"/>
                  </w14:solidFill>
                </w14:textFill>
              </w:rPr>
              <w:t>数量</w:t>
            </w:r>
          </w:p>
        </w:tc>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51E4F764">
            <w:pPr>
              <w:widowControl/>
              <w:snapToGrid w:val="0"/>
              <w:jc w:val="center"/>
              <w:textAlignment w:val="center"/>
              <w:rPr>
                <w:rFonts w:hint="eastAsia" w:ascii="方正仿宋_GB2312" w:hAnsi="方正仿宋_GB2312" w:eastAsia="方正仿宋_GB2312" w:cs="方正仿宋_GB2312"/>
                <w:color w:val="0F1115"/>
                <w:sz w:val="24"/>
                <w:lang w:eastAsia="zh-CN"/>
              </w:rPr>
            </w:pPr>
            <w:r>
              <w:rPr>
                <w:rFonts w:hint="eastAsia" w:ascii="方正仿宋_GB2312" w:hAnsi="方正仿宋_GB2312" w:eastAsia="方正仿宋_GB2312" w:cs="方正仿宋_GB2312"/>
                <w:color w:val="000000" w:themeColor="text1"/>
                <w:kern w:val="0"/>
                <w:sz w:val="24"/>
                <w:lang w:val="en-US" w:eastAsia="zh-CN" w:bidi="ar"/>
                <w14:textFill>
                  <w14:solidFill>
                    <w14:schemeClr w14:val="tx1"/>
                  </w14:solidFill>
                </w14:textFill>
              </w:rPr>
              <w:t>单位</w:t>
            </w:r>
          </w:p>
        </w:tc>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57F38E78">
            <w:pPr>
              <w:widowControl/>
              <w:snapToGrid w:val="0"/>
              <w:jc w:val="center"/>
              <w:textAlignment w:val="center"/>
              <w:rPr>
                <w:rFonts w:ascii="方正仿宋_GB2312" w:hAnsi="方正仿宋_GB2312" w:eastAsia="方正仿宋_GB2312" w:cs="方正仿宋_GB2312"/>
                <w:color w:val="0F1115"/>
                <w:sz w:val="24"/>
              </w:rPr>
            </w:pPr>
            <w:r>
              <w:rPr>
                <w:rFonts w:hint="eastAsia" w:ascii="方正仿宋_GB2312" w:hAnsi="方正仿宋_GB2312" w:eastAsia="方正仿宋_GB2312" w:cs="方正仿宋_GB2312"/>
                <w:color w:val="000000" w:themeColor="text1"/>
                <w:kern w:val="0"/>
                <w:sz w:val="24"/>
                <w:lang w:bidi="ar"/>
                <w14:textFill>
                  <w14:solidFill>
                    <w14:schemeClr w14:val="tx1"/>
                  </w14:solidFill>
                </w14:textFill>
              </w:rPr>
              <w:t>单价(元)</w:t>
            </w:r>
          </w:p>
        </w:tc>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35AD74F3">
            <w:pPr>
              <w:widowControl/>
              <w:snapToGrid w:val="0"/>
              <w:jc w:val="center"/>
              <w:textAlignment w:val="center"/>
              <w:rPr>
                <w:rFonts w:ascii="方正仿宋_GB2312" w:hAnsi="方正仿宋_GB2312" w:eastAsia="方正仿宋_GB2312" w:cs="方正仿宋_GB2312"/>
                <w:color w:val="0F1115"/>
                <w:sz w:val="24"/>
              </w:rPr>
            </w:pPr>
            <w:r>
              <w:rPr>
                <w:rFonts w:hint="eastAsia" w:ascii="方正仿宋_GB2312" w:hAnsi="方正仿宋_GB2312" w:eastAsia="方正仿宋_GB2312" w:cs="方正仿宋_GB2312"/>
                <w:color w:val="000000" w:themeColor="text1"/>
                <w:kern w:val="0"/>
                <w:sz w:val="24"/>
                <w:lang w:bidi="ar"/>
                <w14:textFill>
                  <w14:solidFill>
                    <w14:schemeClr w14:val="tx1"/>
                  </w14:solidFill>
                </w14:textFill>
              </w:rPr>
              <w:t>总额(元)</w:t>
            </w:r>
          </w:p>
        </w:tc>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1758030B">
            <w:pPr>
              <w:widowControl/>
              <w:snapToGrid w:val="0"/>
              <w:jc w:val="center"/>
              <w:textAlignment w:val="center"/>
              <w:rPr>
                <w:rFonts w:hint="eastAsia" w:ascii="方正仿宋_GB2312" w:hAnsi="方正仿宋_GB2312" w:eastAsia="方正仿宋_GB2312" w:cs="方正仿宋_GB2312"/>
                <w:color w:val="000000" w:themeColor="text1"/>
                <w:kern w:val="0"/>
                <w:sz w:val="24"/>
                <w:lang w:bidi="ar"/>
                <w14:textFill>
                  <w14:solidFill>
                    <w14:schemeClr w14:val="tx1"/>
                  </w14:solidFill>
                </w14:textFill>
              </w:rPr>
            </w:pPr>
            <w:r>
              <w:rPr>
                <w:szCs w:val="21"/>
              </w:rPr>
              <w:t>是否属于现行节能产品政府采购清单强制采购范围</w:t>
            </w:r>
          </w:p>
        </w:tc>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6B57361B">
            <w:pPr>
              <w:widowControl/>
              <w:snapToGrid w:val="0"/>
              <w:jc w:val="center"/>
              <w:textAlignment w:val="center"/>
              <w:rPr>
                <w:szCs w:val="21"/>
              </w:rPr>
            </w:pPr>
            <w:r>
              <w:rPr>
                <w:szCs w:val="21"/>
              </w:rPr>
              <w:t>是否属于集采目录内产品</w:t>
            </w:r>
          </w:p>
        </w:tc>
      </w:tr>
      <w:tr w14:paraId="27B932C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1D7D685">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04D852F">
            <w:pPr>
              <w:widowControl/>
              <w:snapToGrid w:val="0"/>
              <w:jc w:val="center"/>
              <w:textAlignment w:val="center"/>
              <w:rPr>
                <w:rFonts w:ascii="宋体" w:hAnsi="宋体"/>
                <w:color w:val="000000"/>
                <w:sz w:val="22"/>
                <w:szCs w:val="22"/>
              </w:rPr>
            </w:pPr>
            <w:r>
              <w:rPr>
                <w:rFonts w:hint="eastAsia" w:ascii="微软雅黑" w:hAnsi="微软雅黑" w:eastAsia="微软雅黑" w:cs="微软雅黑"/>
                <w:color w:val="000000" w:themeColor="text1"/>
                <w:kern w:val="0"/>
                <w:sz w:val="22"/>
                <w:szCs w:val="22"/>
                <w:lang w:bidi="ar"/>
                <w14:textFill>
                  <w14:solidFill>
                    <w14:schemeClr w14:val="tx1"/>
                  </w14:solidFill>
                </w14:textFill>
              </w:rPr>
              <w:t>▲</w:t>
            </w:r>
            <w:r>
              <w:rPr>
                <w:rFonts w:hint="eastAsia" w:ascii="宋体" w:hAnsi="宋体" w:cs="宋体"/>
                <w:color w:val="000000" w:themeColor="text1"/>
                <w:kern w:val="0"/>
                <w:sz w:val="22"/>
                <w:szCs w:val="22"/>
                <w:lang w:bidi="ar"/>
                <w14:textFill>
                  <w14:solidFill>
                    <w14:schemeClr w14:val="tx1"/>
                  </w14:solidFill>
                </w14:textFill>
              </w:rPr>
              <w:t>全钢中央台</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8FB1FE3">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规格尺寸：1500*1500*850m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1.中央实验台设计采用模块化组合式结构，其安全性能参GB/T 24820-2024《实验室家具通用技术条件》要求及试验方法；结构安全性能须符合GB/T 28008-2024《家具结构安全技术规范》的强制性要求执行：</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1.1翘曲度（面板、正视面板件对角线长度）≤3.0mm；平整度（面板、正视面板件）≤0.20mm；邻边垂直度（面板、框架的对角线长度）≤3.0mm；位差度（门与框架、门与门相邻表面、抽屉与框架、抽屉与门、抽屉 与抽屉相邻两表面间的距离偏差）≤2.0mm；分缝（非设计要求）≤2.0mm；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1.2水平静载荷试验，力1000N，10次（最大平衡荷载100kg）；主台面垂直静载荷试验，力2000N，10次；水平冲击稳定性试验，质量100kg，高度40mm；跌落试验，高度150mm，10次；以上试验后，判定合格；以上试验后，零部件应无断裂或豁裂、永久性松动以及影响使用功能的磨损或变形，搁板、顶板、底板的最大变形量不应超过其跨度的0.55%。</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1.3物理实验台面抗冲击，板面应无破损，压痕直径应小于或等于10mm；物理、化学实验台面耐高温，应无裂纹；生物实验台面耐污染应优于3级。</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2.全钢实验台理化性能要求；依据GB/T 3325-2024标准，柜体为整焊结构，主体采用≥1.0mm优质冷轧钢板，表层双面磷化环氧树脂粉末静电喷涂，防腐处理，强吸附、抗酸碱，钢板内部加钢衬，提高整体承重性及抗冲击能力。</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#2.1柜体表面涂层：按照《GB/T 10125-2021 人造气氛腐蚀试验盐雾试验》要求，进行48h乙酸盐雾试验，按照GB/T6461-2002进行保护评级和外观评级，要求保护评级Rp不低于10级，外观等级RA不低于10级要求，且性能评级 Rp/RA不低于10级。《提供具有国家认证认可的具有CMA或CNAS标志的第三方检测机构出具的全钢实验台满足上述要求的规格尺寸以及技术参数的检测报告复印件加盖投标人公章》。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3.实验台主体结构柜体所用钢材（冷轧钢板）的力学性能和化学成分须满足以下要求：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#3.1柜体钢板抗盐雾符合GB/T 3325-2024检测标准：18h，直径1.5mm以下锈点≤20点/dm²，其中直径&gt;1.0mm锈点不超过5点（距边缘棱角2mm以内的不计)《提供具有国家认证认可的具有CMA或CNAS资质的第三方检测机构出具的钢板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#3.2钢材力学性能依据GB/T 228.1-2021《金属材料拉伸试验第1部分：室温试验方法》的规定进行测试，检测结果须同时满足：下屈服强度（ReL）≥235 MPa；抗拉强度（Rm）：370 MPa~500 MPa；断后伸长率（A）≥20%。《提供具有国家认证认可的具有CMA或CNAS资质的第三方检测机构出具的钢板力学性能检测报告复印件加盖投标人公章》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#3.3钢材化学成分采用钢材为Q235B牌号或达到同等性能要求的钢材，其碳（C）、硅（Si）、锰（Mn）、磷（P）、硫（S）五种主要元素的含量，须符合GB/T 700-2006《碳素结构钢》中对Q235B的规定。化学成分的检测方法须依据GB/T 4336-2016《碳素钢和中低合金钢多元素含量的测定火花放电原子发射光谱法（常规法）》。《提供具有国家认证认可的具有CMA或CNAS资质符合以上化学成分要求的钢板检测报告复印件加盖投标人公章》。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抽屉：采用≥1.0mm优质冷轧钢板机加工而成，表层双面磷化环氧树脂粉末静电喷涂，防腐处理，强吸附、抗酸碱，钢板内部加钢衬，提高整体承重性及抗冲击能力；抽屉面板采用双包工艺，增强抗压性，内侧设有防撞橡胶垫，对抽屉闭合起减震作用。</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门板：采用≥1.0mm优质冷轧钢板机加工而成，表层双面磷化环氧树脂粉末静电喷涂，防腐处理，强吸附、抗酸碱，钢板内部加钢衬，提高整体承重性及抗冲击能力；具有防腐蚀，抗酸碱、耐有机溶液等功能；内侧设有防撞橡胶垫，对门板闭合起减震作用；柜门配套优质锁具。</w:t>
            </w:r>
            <w:r>
              <w:rPr>
                <w:rFonts w:hint="eastAsia" w:ascii="宋体" w:hAnsi="宋体" w:cs="宋体"/>
                <w:color w:val="000000" w:themeColor="text1"/>
                <w:kern w:val="0"/>
                <w:sz w:val="22"/>
                <w:szCs w:val="22"/>
                <w:lang w:bidi="ar"/>
                <w14:textFill>
                  <w14:solidFill>
                    <w14:schemeClr w14:val="tx1"/>
                  </w14:solidFill>
                </w14:textFill>
              </w:rPr>
              <w:br w:type="textWrapping"/>
            </w:r>
            <w:r>
              <w:rPr>
                <w:rFonts w:ascii="宋体" w:hAnsi="宋体" w:cs="宋体"/>
                <w:color w:val="000000" w:themeColor="text1"/>
                <w:kern w:val="0"/>
                <w:sz w:val="22"/>
                <w:szCs w:val="22"/>
                <w:lang w:bidi="ar"/>
                <w14:textFill>
                  <w14:solidFill>
                    <w14:schemeClr w14:val="tx1"/>
                  </w14:solidFill>
                </w14:textFill>
              </w:rPr>
              <w:t>6</w:t>
            </w:r>
            <w:r>
              <w:rPr>
                <w:rFonts w:hint="eastAsia" w:ascii="宋体" w:hAnsi="宋体" w:cs="宋体"/>
                <w:color w:val="000000" w:themeColor="text1"/>
                <w:kern w:val="0"/>
                <w:sz w:val="22"/>
                <w:szCs w:val="22"/>
                <w:lang w:bidi="ar"/>
                <w14:textFill>
                  <w14:solidFill>
                    <w14:schemeClr w14:val="tx1"/>
                  </w14:solidFill>
                </w14:textFill>
              </w:rPr>
              <w:t>.合页：采用304不锈钢材质，耐酸碱腐蚀，延长使用年限；</w:t>
            </w:r>
            <w:r>
              <w:rPr>
                <w:rFonts w:hint="eastAsia" w:ascii="宋体" w:hAnsi="宋体" w:cs="宋体"/>
                <w:color w:val="000000" w:themeColor="text1"/>
                <w:kern w:val="0"/>
                <w:sz w:val="22"/>
                <w:szCs w:val="22"/>
                <w:lang w:bidi="ar"/>
                <w14:textFill>
                  <w14:solidFill>
                    <w14:schemeClr w14:val="tx1"/>
                  </w14:solidFill>
                </w14:textFill>
              </w:rPr>
              <w:br w:type="textWrapping"/>
            </w:r>
            <w:r>
              <w:rPr>
                <w:rFonts w:ascii="宋体" w:hAnsi="宋体" w:cs="宋体"/>
                <w:color w:val="000000" w:themeColor="text1"/>
                <w:kern w:val="0"/>
                <w:sz w:val="22"/>
                <w:szCs w:val="22"/>
                <w:lang w:bidi="ar"/>
                <w14:textFill>
                  <w14:solidFill>
                    <w14:schemeClr w14:val="tx1"/>
                  </w14:solidFill>
                </w14:textFill>
              </w:rPr>
              <w:t>7</w:t>
            </w:r>
            <w:r>
              <w:rPr>
                <w:rFonts w:hint="eastAsia" w:ascii="宋体" w:hAnsi="宋体" w:cs="宋体"/>
                <w:color w:val="000000" w:themeColor="text1"/>
                <w:kern w:val="0"/>
                <w:sz w:val="22"/>
                <w:szCs w:val="22"/>
                <w:lang w:bidi="ar"/>
                <w14:textFill>
                  <w14:solidFill>
                    <w14:schemeClr w14:val="tx1"/>
                  </w14:solidFill>
                </w14:textFill>
              </w:rPr>
              <w:t>.滑轨：采用三节承重滑轨，开关轻盈无噪音；</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柜体层板：采用≥1.0mm优质冷轧钢板机加工而成，底面承重加强筋，表层双面磷化环氧树脂粉末静电喷涂，防腐处理，强吸附、抗酸碱；箱体内设有垂直调整孔位，位置任意可调。</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#8.PVC 调节脚依据 ISO 9227:2022《人造大气中的腐蚀试验-盐雾试验》检测，结果为10级：无腐蚀，试样表面无变化。《需提供国家认证认可的具有CMA或CNAS标志的第三方检测机构出具的检测报告复印件》。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实验台台面：采用厚度≥20mm一体实芯烧制陶瓷板台面，釉面颜色可选，台面耐强腐蚀，耐高温，耐磨，易清洁，使用寿命长，台面根据使用需求配备防滑凹槽（凹槽为一体釉面，非后期破坏釉面开槽），台面转角处做圆弧R≥10 mm防撞安全光滑处理，台面釉面自带厂家清晰的原装品牌防伪标识并需满足以下技术要求：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#9.1、陶瓷台面尺寸允许偏差：参照GB/T 19367-2022《人造板的尺寸测定》检测要求，检测内容包括长×宽×厚≥3000×750×20mm的检测，检测结果为：符合长度、宽度偏差±1mm、厚度±0.15mm、垂直度、边缘直度、平整度:≤1mm/m要求。《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9.2、陶瓷台面承载测试性能要求：检测样品≥1000mm，在样品上施加≥1200kg荷载，保载≥600h,加载面积为900×650mm,检测结果为样品未被破坏。《需提供国家认证认可的具有CMA或CNAS标志的第三方检测机构出具的合规性检测报告证明文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#9.3、陶瓷台面耐污染性能：参照GB/T 17657-2022《人造板及饰面人造板理化性能试验方法》的检测方法，陶瓷台面至少耐受60项试剂测试，须包含：37%盐酸、65%硝酸、98%硫酸、碘酒，满足48h接触后检测结果为5级（无明显变化）；对设有水槽开孔的台面，应在台面上同时对台面正面及开孔截面进行检测，正面及开孔截面均耐受至少7项化学试剂测试，须包括二氯甲烷、丙酮、碘酒，满足接触48h后检测结果为5级（无明显变化）。《需提供国家认证认可的具有CMA或CNAS标志的第三方检测机构出具的对同一块样品的台面正面和开孔截面做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9.4、陶瓷台面耐高温性能：参照GB/T 17657-2022《人造板及饰面人造板理化性能试验方法》检测，对至少3个一体实芯陶瓷板样品进行检测，检测结果表面无裂纹。陶瓷台面耐刻刮性能要求：陶瓷台面耐刻刮性能良好，参照GB/T 17657-2022《人造板及饰面人造板理化性能试验方法》检测标准，表面耐划痕不低于3级。《需提供国家认证认可的具有CMA或CNAS标志的第三方检测机构出具的检测报告复印件》。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9.5、陶瓷台面质量一致性：为保证产品供货质量的一致性，要求从品牌厂家成品库中抽取陶瓷台面进行检测，其吸水率，断裂模数，破坏强度、放射性比活度等均符合国标要求，防止质量偏差改检测方式为抽检。《提供国家认证认可的具有CMA或CNAS标志的第三方检测机构出具的检测报告证明文件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9.6、陶瓷台面需带单边安全防滑凹槽台面需在其操作面边沿配备止滑工艺，止滑凹槽宽度：≥10mm,深度：≥1.0mm,长度：≥700mm，储水量：≥7.0mL,凹槽釉面颜色与台面釉面一致。《需提供国家认证认可的具有CMA或CNAS标志的第三方检测机构出具的检测报告证明文件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9.7、陶瓷台面双水槽碟型台面采用双向导流防滑沥水槽，台面四周一体碟型阻水边工艺，检测台面为一体成型实芯坯体并采用一体烧成釉面工艺（非后期粘贴或拼接），检测规格：≥1500mm，厚度：≥25mm。经碟型陶瓷台面防滑和沥水导流的测试；检测结果为：样品无空洞、无气泡、无杂色，为一体实芯坯体，样品釉面与坯体之间无断层、无脱层、无釉面碎屑、釉面与坯体呈一体；满足防滑作用、满足沥水导流作用，同一碟型台面双水槽孔需配备单向且独立（非连通）的防滑沥水槽，相邻的平行沥水槽间距：≤70mm。《需提供国家认证认可的具有CMA或CNAS标志的第三方检测机构出具的满足该性能要求的合规性检测证明报告文件》。</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50309B4">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09807C0">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36DFD8E">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8,250.00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DA52242">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16,500.00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D18DF8E">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E6C669C">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是</w:t>
            </w:r>
          </w:p>
        </w:tc>
      </w:tr>
      <w:tr w14:paraId="285DAE6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F43817B">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BCB230D">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全钢实验边台</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B0C7B9E">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规格尺寸：2000*1000*750mm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1.中央实验台设计采用模块化组合式结构，其安全性能参GB/T 24820-2024《实验室家具通用技术条件》要求及试验方法；结构安全性能须符合GB/T 28008-2024《家具结构安全技术规范》的强制性要求执行：</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1.1翘曲度（面板、正视面板件对角线长度）≤3.0mm；平整度（面板、正视面板件）≤0.20mm；邻边垂直度（面板、框架的对角线长度）≤3.0mm；位差度（门与框架、门与门相邻表面、抽屉与框架、抽屉与门、抽屉 与抽屉相邻两表面间的距离偏差）≤2.0mm；分缝（非设计要求）≤2.0mm；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1.2水平静载荷试验，力1000N，10次（最大平衡荷载100kg）；主台面垂直静载荷试验，力2000N，10次；水平冲击稳定性试验，质量100kg，高度40mm；跌落试验，高度150mm，10次；以上试验后，判定合格；以上试验后，零部件应无断裂或豁裂、永久性松动以及影响使用功能的磨损或变形，搁板、顶板、底板的最大变形量不应超过其跨度的0.55%。</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1.3物理实验台面抗冲击，板面应无破损，压痕直径应小于或等于10mm；物理、化学实验台面耐高温，应无裂纹；生物实验台面耐污染应优于3级。</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2.全钢实验台理化性能要求；依据GB/T 3325-2024标准，柜体为整焊结构，主体采用≥1.0mm优质冷轧钢板，表层双面磷化环氧树脂粉末静电喷涂，防腐处理，强吸附、抗酸碱，钢板内部加钢衬，提高整体承重性及抗冲击能力。</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2.1柜体表面涂层：按照《GB/T 10125-2021 人造气氛腐蚀试验盐雾试验》要求，进行48h乙酸盐雾试验，按照GB/T6461-2002进行保护评级和外观评级，要求保护评级Rp不低于10级，外观等级RA不低于10级要求，且性能评级 Rp/RA不低于10级。《提供具有国家认证认可的具有CMA或CNAS标志的第三方检测机构出具的全钢实验台满足上述要求的规格尺寸以及技术参数的检测报告复印件加盖投标人公章》。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3.实验台主体结构柜体所用钢材（冷轧钢板）的力学性能和化学成分须满足以下要求：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3.1柜体钢板抗盐雾符合GB/T 3325-2024检测标准：18h，直径1.5mm以下锈点≤20点/dm²，其中直径&gt;1.0mm锈点不超过5点（距边缘棱角2mm以内的不计)《提供具有国家认证认可的具有CMA或CNAS资质的第三方检测机构出具的钢板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3.2钢材力学性能依据GB/T 228.1-2021《金属材料拉伸试验第1部分：室温试验方法》的规定进行测试，检测结果须同时满足：下屈服强度（ReL）≥235 MPa；抗拉强度（Rm）：370 MPa~500 MPa；断后伸长率（A）≥20%。《提供具有国家认证认可的具有CMA或CNAS资质的第三方检测机构出具的钢板力学性能检测报告复印件加盖投标人公章》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3.3钢材化学成分采用钢材为Q235B牌号或达到同等性能要求的钢材，其碳（C）、硅（Si）、锰（Mn）、磷（P）、硫（S）五种主要元素的含量，须符合GB/T 700-2006《碳素结构钢》中对Q235B的规定。化学成分的检测方法须依据GB/T 4336-2016《碳素钢和中低合金钢多元素含量的测定火花放电原子发射光谱法（常规法）》。《提供具有国家认证认可的具有CMA或CNAS资质符合以上化学成分要求的钢板检测报告复印件加盖投标人公章》。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抽屉：采用≥1.0mm优质冷轧钢板机加工而成，表层双面磷化环氧树脂粉末静电喷涂，防腐处理，强吸附、抗酸碱，钢板内部加钢衬，提高整体承重性及抗冲击能力；抽屉面板采用双包工艺，增强抗压性，内侧设有防撞橡胶垫，对抽屉闭合起减震作用。</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门板：采用≥1.0mm优质冷轧钢板机加工而成，表层双面磷化环氧树脂粉末静电喷涂，防腐处理，强吸附、抗酸碱，钢板内部加钢衬，提高整体承重性及抗冲击能力；具有防腐蚀，抗酸碱、耐有机溶液等功能；内侧设有防撞橡胶垫，对门板闭合起减震作用；柜门配套优质锁具。</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6.合页：采用304不锈钢材质，耐酸碱腐蚀，延长使用年限；</w:t>
            </w:r>
            <w:r>
              <w:rPr>
                <w:rFonts w:hint="eastAsia" w:ascii="宋体" w:hAnsi="宋体" w:cs="宋体"/>
                <w:color w:val="000000" w:themeColor="text1"/>
                <w:kern w:val="0"/>
                <w:sz w:val="22"/>
                <w:szCs w:val="22"/>
                <w:lang w:bidi="ar"/>
                <w14:textFill>
                  <w14:solidFill>
                    <w14:schemeClr w14:val="tx1"/>
                  </w14:solidFill>
                </w14:textFill>
              </w:rPr>
              <w:br w:type="textWrapping"/>
            </w:r>
            <w:r>
              <w:rPr>
                <w:rFonts w:ascii="宋体" w:hAnsi="宋体" w:cs="宋体"/>
                <w:color w:val="000000" w:themeColor="text1"/>
                <w:kern w:val="0"/>
                <w:sz w:val="22"/>
                <w:szCs w:val="22"/>
                <w:lang w:bidi="ar"/>
                <w14:textFill>
                  <w14:solidFill>
                    <w14:schemeClr w14:val="tx1"/>
                  </w14:solidFill>
                </w14:textFill>
              </w:rPr>
              <w:t>7</w:t>
            </w:r>
            <w:r>
              <w:rPr>
                <w:rFonts w:hint="eastAsia" w:ascii="宋体" w:hAnsi="宋体" w:cs="宋体"/>
                <w:color w:val="000000" w:themeColor="text1"/>
                <w:kern w:val="0"/>
                <w:sz w:val="22"/>
                <w:szCs w:val="22"/>
                <w:lang w:bidi="ar"/>
                <w14:textFill>
                  <w14:solidFill>
                    <w14:schemeClr w14:val="tx1"/>
                  </w14:solidFill>
                </w14:textFill>
              </w:rPr>
              <w:t>.滑轨：采用三节承重滑轨，开关轻盈无噪音；</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柜体层板：采用≥1.0mm优质冷轧钢板机加工而成，底面承重加强筋，表层双面磷化环氧树脂粉末静电喷涂，防腐处理，强吸附、抗酸碱；箱体内设有垂直调整孔位，位置任意可调。</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8.PVC 调节脚依据 ISO 9227:2022《人造大气中的腐蚀试验-盐雾试验》检测，结果为10级：无腐蚀，试样表面无变化。《需提供国家认证认可的具有CMA或CNAS标志的第三方检测机构出具的检测报告复印件》。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实验台台面：采用厚度≥20mm一体实芯烧制陶瓷板台面，釉面颜色可选，台面耐强腐蚀，耐高温，耐磨，易清洁，使用寿命长，台面根据使用需求配备防滑凹槽（凹槽为一体釉面，非后期破坏釉面开槽），台面转角处做圆弧R≥10 mm防撞安全光滑处理，台面釉面自带厂家清晰的原装品牌防伪标识并需满足以下技术要求：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9.1、陶瓷台面尺寸允许偏差：参照GB/T 19367-2022《人造板的尺寸测定》检测要求，检测内容包括长×宽×厚≥3000×750×20mm的检测，检测结果为：符合长度、宽度偏差±1mm、厚度±0.15mm、垂直度、边缘直度、平整度:≤1mm/m要求。《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9.2、陶瓷台面承载测试性能要求：检测样品≥1000mm，在样品上施加≥1200kg荷载，保载≥600h,加载面积为900×650mm,检测结果为样品未被破坏。《需提供国家认证认可的具有CMA或CNAS标志的第三方检测机构出具的合规性检测报告证明文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9.3、陶瓷台面耐污染性能：参照GB/T 17657-2022《人造板及饰面人造板理化性能试验方法》的检测方法，陶瓷台面至少耐受60项试剂测试，须包含：37%盐酸、65%硝酸、98%硫酸、碘酒，满足48h接触后检测结果为5级（无明显变化）；对设有水槽开孔的台面，应在台面上同时对台面正面及开孔截面进行检测，正面及开孔截面均耐受至少7项化学试剂测试，须包括二氯甲烷、丙酮、碘酒，满足接触48h后检测结果为5级（无明显变化）。《需提供国家认证认可的具有CMA或CNAS标志的第三方检测机构出具的对同一块样品的台面正面和开孔截面做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9.4、陶瓷台面耐高温性能：参照GB/T 17657-2022《人造板及饰面人造板理化性能试验方法》检测，对至少3个一体实芯陶瓷板样品进行检测，检测结果表面无裂纹。陶瓷台面耐刻刮性能要求：陶瓷台面耐刻刮性能良好，参照GB/T 17657-2022《人造板及饰面人造板理化性能试验方法》检测标准，表面耐划痕不低于3级。《需提供国家认证认可的具有CMA或CNAS标志的第三方检测机构出具的检测报告复印件》。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9.5、陶瓷台面质量一致性：为保证产品供货质量的一致性，要求从品牌厂家成品库中抽取陶瓷台面进行检测，其吸水率，断裂模数，破坏强度、放射性比活度等均符合国标要求，防止质量偏差改检测方式为抽检。《提供国家认证认可的具有CMA或CNAS标志的第三方检测机构出具的检测报告证明文件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9.6、陶瓷台面需带单边安全防滑凹槽台面需在其操作面边沿配备止滑工艺，止滑凹槽宽度：≥10mm,深度：≥1.0mm,长度：≥700mm，储水量：≥7.0mL,凹槽釉面颜色与台面釉面一致。《需提供国家认证认可的具有CMA或CNAS标志的第三方检测机构出具的检测报告证明文件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9.7、陶瓷台面双水槽碟型台面采用双向导流防滑沥水槽，台面四周一体碟型阻水边工艺，检测台面为一体成型实芯坯体并采用一体烧成釉面工艺（非后期粘贴或拼接），检测规格：≥1500mm，厚度：≥25mm。经碟型陶瓷台面防滑和沥水导流的测试；检测结果为：样品无空洞、无气泡、无杂色，为一体实芯坯体，样品釉面与坯体之间无断层、无脱层、无釉面碎屑、釉面与坯体呈一体；满足防滑作用、满足沥水导流作用，同一碟型台面双水槽孔需配备单向且独立（非连通）的防滑沥水槽，相邻的平行沥水槽间距：≤70mm。《需提供国家认证认可的具有CMA或CNAS标志的第三方检测机构出具的满足该性能要求的合规性检测证明报告文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10.实验台配套设施</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10.1系统配有报警器、传感器、探测器等、控制器、减压装置等。</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 xml:space="preserve">10.2减压装置材质：SS316L型号：PSD1100LA说明：自动切换的连续型供气装置，功能：当一侧钢瓶用空后自动切换到另一侧供气，保证系统连续供气，全自动切换运行，最高输入压力25MPa,输出压力0~2.5MPa，1用1备，4个阀（2个开关隔膜阀，2个吹扫隔膜阀），进气1/4”NPT，出气1/4”NPT，含2个进气压力表、1个出气压力表，可调，带开关指示窗、采用墙式安装、可选配压力报警装置；技术参数：双侧高压气瓶通过减压压力差原理，自动切换的连续型供气装置，最大输入压力3000psi(20.7mpa)，出气范围：0-250psi（0-1.7mpa）可调，适用于实验室、气体分析等高纯气体场合结构特点：采用特气单级式减压器，配置单向阀，可采用汇流管具扩展性，采用墙式安装，每侧两级过滤装置（每级双层过滤网），可选配压力报警装置；减压器母体：316L、减压器密封材质：PTFE、PCTFE、PEEK、膜片阀母体：316L、减压器膜片：316L技术参数：最大输入压力：3000Psi、输出压力：0-250 Psi（0-1.7mpa）可调，安全测试压力：1.5倍的最大输出压力、适用温度：-40℃-+74℃、泄漏率：2*10-8atm cc/sec He </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#10.3厂家资质要求：#中华人民共和国特种设备生产许可证（压力管道元件制造）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10.4中华人民共和国特种设备生产许可证（安全阀）中华人民共和国计量器具型式批准证书-CPA产品责任险，累计赔偿限额：300万元（人民币）生产厂家专精特新企业证书生产厂家高新技术企业证书生产厂家需具有符合GB/T29490-2013标准的知识产权管理体系认证证书CMS测量管理体系认证CE认证证书</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#10.5提供带有本项目名称水印的制造商售后服务承诺书</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★10.6提供带有本项目名称水印的第三方减压器三项检测报告（壳体、盐雾、氦检），带有CMA、CNAS、ilac MRA标识加盖厂家的红色公章。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#10.7满足要求并提供带有本项目名称水印的CMA、CNAS、iLac MRA标识的第三方减压器三项检测报告(壳体、盐雾、氦检)为“符合”;不满足要求或未提供带有本项目名称水印的CMA、CNAS、iLac MRA标识的第三方减压器三项检测报告(壳体、盐雾、氦检)为“负偏离”。三项检测标准：1、壳体试验：依据GB/T13927-2022/第6.1条标准，检测方法：将已安装好的阀门的两端封闭，启闭件部分开启，向阀体内加压，试验压力31.1MPa,保压60s检测结果：阀体无结构损伤，壳体间连接处无可见泄露，壳体表面无明显可见的液滴和表面潮湿盐雾试验：依据GB/T2423.17-2008第6条标准，检测方法：在温度（35±2）℃，盐溶液浓度（50±5）g/L，pH值为6.5～7.2区间，盐雾沉降率：（1～2）mL/80cm2・h，保持48小时及以上检测结果：试验后样品表面无明显腐蚀。低泄漏试验：依据GB/T26481-2022第4条标准，检测方法：测量被测阀门阀杆密封处或阀体密封处所逸出的试验介质量试验压力0.6MPa,试验介质为氦气检测结果：泄漏率≤4.4×10-10Pa.m³/s二、提供第三方压力表检定证书：精准度最大允许误差≤0.4级</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8EF4AB2">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F115086">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64B17EC">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10,285.00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9E17A25">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20,570.00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47A3110">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D304D17">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是</w:t>
            </w:r>
          </w:p>
        </w:tc>
      </w:tr>
      <w:tr w14:paraId="6B52932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212CE5E">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3</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683DB6A">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全钢水柜</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04285B0">
            <w:pPr>
              <w:widowControl/>
              <w:snapToGrid w:val="0"/>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规格尺寸：1500*750*850mm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1.全钢实验水柜设计采用模块化组合式结构，其安全性能参GB/T 24820-2024《实验室家具通用技术条件》要求及试验方法；结构安全性能须符合GB/T 28008-2024《家具结构安全技术规范》的强制性要求执行：</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1.1翘曲度（面板、正视面板件对角线长度）≤3.0mm；平整度（面板、正视面板件）≤0.20mm；邻边垂直度（面板、框架的对角线长度）≤3.0mm；位差度（门与框架、门与门相邻表面、抽屉与框架、抽屉与门、抽屉与抽屉相邻两表面间的距离偏差）≤2.0mm；分缝（非设计要求）≤2.0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1.2水平静载荷试验，力1000N，10次（最大平衡荷载100kg）；主台面垂直静载荷试验，力2000N，10次；水平冲击稳定性试验，质量100kg，高度40mm；跌落试验，高度150mm，10次；以上试验后，判定合格；以上试验后，零部件应无断裂或豁裂、永久性松动以及影响使用功能的磨损或变形，搁板、顶板、底板的最大变形量不应超过其跨度的0.55%。</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1.3物理实验台面抗冲击，板面应无破损，压痕直径应小于或等于10mm；物理、化学实验台面耐高温，应无裂纹；生物实验台面耐污染应优于3级。1.4理化性能要求；依据GB/T 3325-2024标准，柜体为整焊结构，主体采用≥1.0mm优质冷轧钢板，表层双面磷化环氧树脂粉末静电喷涂，防腐处理，强吸附、抗酸碱，钢板内部加钢衬，提高整体承重性及抗冲击能力。</w:t>
            </w:r>
          </w:p>
          <w:p w14:paraId="1B8567AC">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2.全钢实验台理化性能要求；依据GB/T 3325-2024标准，柜体为整焊结构，主体采用≥1.0mm优质冷轧钢板，表层双面磷化环氧树脂粉末静电喷涂，防腐处理，强吸附、抗酸碱，钢板内部加钢衬，提高整体承重性及抗冲击能力。</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#2.1全钢水柜柜体表面涂层：按照《GB/T 10125-2021 人造气氛腐蚀试验盐雾试验》要求，进行 48h 乙酸盐雾试验，按照 GB/T 6461-2002 进行保护这评级和外观评级，要求保护评级 Rp 不低于10级，外观等级RA不低于10级要求，且性能评级Rp/RA不低于10级。《提供具有国家认证认可的具有CMA或CNAS标志的第三方检测机构出具的全钢水柜满足上述规格尺寸及技术参数要求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3.全钢水柜主体结构柜体所用钢材（冷轧钢板）的力学性能和化学成分须满足以下要求：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#3.1柜体钢板抗盐雾符合GB/T 3325-2017检测标准：18h，直径1.5mm以下锈点≤20点/dm²，其中直径&gt;1.0mm锈点不超过5点（距边缘棱角2mm以内的不计)《提供具有国家认证认可的具有CMA或CNAS资质的第三方检测机构出具的钢板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#3.2钢材力学性能依据GB/T 228.1-2021《金属材料拉伸试验第1部分：室温试验方法》的规定进行测试，检测结果须同时满足：下屈服强度（ReL）≥235 MPa；抗拉强度（Rm）：370 MPa~500 MPa；断后伸长率（A）≥20%。《提供具有国家认证认可的具有CMA或CNAS资质的第三方检测机构出具的钢板力学性能检测报告复印件加盖投标人公章》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#3.3钢材化学成分采用钢材为Q235B牌号或达到同等性能要求的钢材，其碳（C）、硅（Si）、锰（Mn）、磷（P）、硫（S）五种主要元素的含量，须符合GB/T 700-2006《碳素结构钢》中对Q235B的规定。化学成分的检测方法须依据GB/T 4336-2016《碳素钢和中低合金钢多元素含量的测定火花放电原子发射光谱法（常规法）》。《提供具有国家认证认可的具有CMA或CNAS资质符合以上化学成分要求的钢板检测报告复印件加盖投标人公章》。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门板：采用≥1.0mm优质冷轧钢板机加工而成，表层双面磷化环氧树脂粉末静电喷涂，防腐处理，强吸附、抗酸碱，钢板内部加钢衬，提高整体承重性及抗冲击能力；具有防腐蚀，抗酸碱、耐有机溶液等功能；内侧设有防撞橡胶垫，对门板闭合起减震作用；柜门配套优质锁具。</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5.合页：采用304不锈钢材质，耐酸碱腐蚀，延长使用年限；</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#6.PVC调节脚依据 ISO 9227:2022《人造大气中的腐蚀试验-盐雾试验》检测，结果为10 级：无腐蚀，试样表面无变化。《需提供国家认证认可的具有CMA或CNAS标志的第三方检测机构出具的检测报告复印件》。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实验台台面：采用厚度≥20mm一体实芯烧制陶瓷板台面，釉面颜色可选，台面耐强腐蚀，耐高温，耐磨，易清洁，使用寿命长，台面根据使用需求配备防滑凹槽（凹槽为一体釉面，非后期破坏釉面开槽），台面转角处做圆弧R≥10 mm防撞安全光滑处理，台面釉面自带厂家清晰的原装品牌防伪标识并需满足以下技术要求：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#7.1陶瓷台面尺寸允许偏差：参照GB/T 19367-2022《人造板的尺寸测定》检测要求，检测内容包括长×宽×厚≥3000×750×20mm的检测，检测结果为：符合长度、宽度偏差±1mm、厚度±0.15mm、垂直度、边缘直度、平整度:≤1mm/m要求。《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w:t>
            </w:r>
            <w:r>
              <w:rPr>
                <w:rFonts w:ascii="宋体" w:hAnsi="宋体" w:cs="宋体"/>
                <w:color w:val="000000" w:themeColor="text1"/>
                <w:kern w:val="0"/>
                <w:sz w:val="22"/>
                <w:szCs w:val="22"/>
                <w:lang w:bidi="ar"/>
                <w14:textFill>
                  <w14:solidFill>
                    <w14:schemeClr w14:val="tx1"/>
                  </w14:solidFill>
                </w14:textFill>
              </w:rPr>
              <w:t>7</w:t>
            </w:r>
            <w:r>
              <w:rPr>
                <w:rFonts w:hint="eastAsia" w:ascii="宋体" w:hAnsi="宋体" w:cs="宋体"/>
                <w:color w:val="000000" w:themeColor="text1"/>
                <w:kern w:val="0"/>
                <w:sz w:val="22"/>
                <w:szCs w:val="22"/>
                <w:lang w:bidi="ar"/>
                <w14:textFill>
                  <w14:solidFill>
                    <w14:schemeClr w14:val="tx1"/>
                  </w14:solidFill>
                </w14:textFill>
              </w:rPr>
              <w:t>.2陶瓷台面承载测试性能要求：检测样品≥1000mm，在样品上施加≥1200kg荷载，保载≥600h,加载面积为900×650mm,检测结果为样品未被破坏。《需提供国家认证认可的具有CMA或CNAS标志的第三方检测机构出具的合规性检测报告证明文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w:t>
            </w:r>
            <w:r>
              <w:rPr>
                <w:rFonts w:ascii="宋体" w:hAnsi="宋体" w:cs="宋体"/>
                <w:color w:val="000000" w:themeColor="text1"/>
                <w:kern w:val="0"/>
                <w:sz w:val="22"/>
                <w:szCs w:val="22"/>
                <w:lang w:bidi="ar"/>
                <w14:textFill>
                  <w14:solidFill>
                    <w14:schemeClr w14:val="tx1"/>
                  </w14:solidFill>
                </w14:textFill>
              </w:rPr>
              <w:t>7</w:t>
            </w:r>
            <w:r>
              <w:rPr>
                <w:rFonts w:hint="eastAsia" w:ascii="宋体" w:hAnsi="宋体" w:cs="宋体"/>
                <w:color w:val="000000" w:themeColor="text1"/>
                <w:kern w:val="0"/>
                <w:sz w:val="22"/>
                <w:szCs w:val="22"/>
                <w:lang w:bidi="ar"/>
                <w14:textFill>
                  <w14:solidFill>
                    <w14:schemeClr w14:val="tx1"/>
                  </w14:solidFill>
                </w14:textFill>
              </w:rPr>
              <w:t>.3陶瓷台面耐污染性能：参照GB/T 17657-2022《人造板及饰面人造板理化性能试验方法》的检测方法，陶瓷台面至少耐受60项试剂测试，须包含：37%盐酸、65%硝酸、98%硫酸、碘酒，满足48h接触后检测结果为5级（无明显变化）；对设有水槽开孔的台面，应在台面上同时对台面正面及开孔截面进行检测，正面及开孔截面均耐受至少7项化学试剂测试，须包括二氯甲烷、丙酮、碘酒，满足接触48h后检测结果为5级（无明显变化）。《需提供国家认证认可的具有CMA或CNAS标志的第三方检测机构出具的对同一块样品的台面正面和开孔截面做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7.4陶瓷台面耐高温性能：参照GB/T 17657-2022《人造板及饰面人造板理化性能试验方法》检测，对至少3个一体实芯陶瓷板样品进行检测，检测结果表面无裂纹。陶瓷台面耐刻刮性能要求：陶瓷台面耐刻刮性能良好，参照GB/T 17657-2022《人造板及饰面人造板理化性能试验方法》检测标准，表面耐划痕不低于3级。《需提供国家认证认可的具有CMA或CNAS标志的第三方检测机构出具的检测报告复印件》。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7.5陶瓷台面质量一致性：为保证产品供货质量的一致性，要求从品牌厂家成品库中抽取陶瓷台面进行检测，其吸水率，断裂模数，破坏强度、放射性比活度等均符合国标要求，防止质量偏差改检测方式为抽检。《提供国家认证认可的具有CMA或CNAS标志的第三方检测机构出具的检测报告证明文件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7.6陶瓷台面需带单边安全防滑凹槽台面需在其操作面边沿配备止滑工艺，止滑凹槽宽度：≥10mm,深度：≥1.0mm,长度：≥700mm，储水量：≥7.0mL,凹槽釉面颜色与台面釉面一致。《需提供国家认证认可的具有CMA或CNAS标志的第三方检测机构出具的检测报告证明文件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7.7陶瓷台面双水槽碟型台面采用双向导流防滑沥水槽，台面四周一体碟型阻水边工艺，检测台面为一体成型实芯坯体并采用一体烧成釉面工艺（非后期粘贴或拼接），检测规格：≥1500mm，厚度：≥25mm。经碟型陶瓷台面防滑和沥水导流的测试；检测结果为：样品无空洞、无气泡、无杂色，为一体实芯坯体，样品釉面与坯体之间无断层、无脱层、无釉面碎屑、釉面与坯体呈一体；满足防滑作用、满足沥水导流作用，同一碟型台面双水槽孔需配备单向且独立（非连通）的防滑沥水槽，相邻的平行沥水槽间距：≤70mm。《需提供国家认证认可的具有CMA或CNAS标志的第三方检测机构出具的满足该性能要求的合规性检测证明报告文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 水柜配件：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8.1水槽采用全新PP料及进口色母料，无碳酸钙成分；下水口与水槽一体注塑成型，水槽内壁无缩印，四边平整，表面光滑顺畅，不有划伤、裂纹、气泡、爆边等明显缺陷。水槽壁厚≤5mm；为防止水槽中间或四周有积液，槽体底部有导流线。</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#8.1</w:t>
            </w:r>
            <w:r>
              <w:rPr>
                <w:rFonts w:ascii="宋体" w:hAnsi="宋体" w:cs="宋体"/>
                <w:color w:val="000000" w:themeColor="text1"/>
                <w:kern w:val="0"/>
                <w:sz w:val="22"/>
                <w:szCs w:val="22"/>
                <w:lang w:bidi="ar"/>
                <w14:textFill>
                  <w14:solidFill>
                    <w14:schemeClr w14:val="tx1"/>
                  </w14:solidFill>
                </w14:textFill>
              </w:rPr>
              <w:t>.</w:t>
            </w:r>
            <w:r>
              <w:rPr>
                <w:rFonts w:hint="eastAsia" w:ascii="宋体" w:hAnsi="宋体" w:cs="宋体"/>
                <w:color w:val="000000" w:themeColor="text1"/>
                <w:kern w:val="0"/>
                <w:sz w:val="22"/>
                <w:szCs w:val="22"/>
                <w:lang w:bidi="ar"/>
                <w14:textFill>
                  <w14:solidFill>
                    <w14:schemeClr w14:val="tx1"/>
                  </w14:solidFill>
                </w14:textFill>
              </w:rPr>
              <w:t>1耐污染性能：依据GB/T 17657-2022标准，同一份检测报告需包含甲酸（AR，85%）、抗坏血酸（AR）、单宁酸（AR）、二氯乙酸（AR，98%）、氨水（氢氧化铵）（AR）、氢氧化钙（AR）、氢氧化钾（AR，≥85.0%）、磷酸氢二钠（无水）（AR，≥99.0%）、硫代硫酸钠（≥99.5%）、硫氰酸钾（GR，99%）、硫酸铁铵（&gt;98%）、己烷（AR，≥97.0%）、邻二甲苯（CP，≥98.0%）、四氯化碳、2-苯乙醇（&gt;99. 0%）、2-甲氧基乙醇（特纯99%）、糠醛（呋喃甲叉）（AR，99%）、桃醛（0.98）、二恶烷（1,4-二氧六环、二氧杂环己烷（AR，99%）、丁酮（甲基乙基酮、甲乙酮）（AR，≥99.0%）、二正丁胺（1601）（AR）、N-甲基吡咯烷酮（&gt;99.5%）、二硫化碳（≥99.9%）、二氯甲烷（AR，≥99.5%）等至少150种有机、无机试剂，耐污染接触时间≥48h，覆盖/未覆盖玻璃盖板，检验结果均为5级（无明显变化）。提供国家化学建材质量检验检测中心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#8.1.2抗菌性：依据JC/T 897-2014标准，要求≥14种细菌的检测，检测值≥99.99%（菌种包括粘质沙雷氏菌、鼠伤寒沙门氏菌、恶臭假单胞菌、鲍曼不动杆菌）。提供国家认可的第三方检测机构出具的带有CMA和CNAS章的检测报告。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8.1.3弯曲强度：依据GB/T 9341-2008标准，检测结果≥80MPa。提供国家化学建材质量检验检测中心出具的带有CMA和CNAS章的检测报告。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8.1.4抗压强度：依据GB/T 1041-2008标准，检测结果≥80MPa。提供国家化学建材质量检验检测中心出具的带有CMA和CNAS章的检测报告加盖厂家红章。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8.1.5须提供绿色产品认证证书</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8.2滴水架材料：采用高密度PP，一体成型，无异味；表面光洁，无缩印，无划痕，无飞边；内部无气泡、无气纹；</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款式：滴水棒卡扣设计为嵌入式，可拆卸，安装简便，插好后不易脱落，左右摇晃&lt;1mm；接水底部：中间设有排水孔；可拆卸式滴水棒，滴水棒27/61根；安装方式：壁挂式/台式。</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#8.2.1耐污染性能：依据GB/T 17657-2022标准，同一份检测报告需包含甲酸（AR，85%）、抗坏血酸（AR）、单宁酸（AR）、二氯乙酸（AR，98%）、氨水（氢氧化铵）（AR）、氢氧化钙（AR）、氢氧化钾（AR，≥85.0%）、磷酸氢二钠（无水）（AR，≥99.0%）、硫代硫酸钠（≥99.5%）、硫氰酸钾（GR，99%）、硫酸铁铵（&gt;98%）、己烷（AR，≥97.0%）、邻二甲苯（CP，≥98.0%）、四氯化碳、2-苯乙醇（&gt;99. 0%）、2-甲氧基乙醇（特纯99%）、糠醛（呋喃甲叉）（AR，99%）、桃醛（0.98）、二恶烷（1,4-二氧六环、二氧杂环己烷）（AR，99%）、丁酮（甲基乙基酮、甲乙酮）（AR，≥99.0%）、二正丁胺（1601）（AR）、N-甲基吡咯烷酮（&gt;99.5%）、二硫化碳（≥99.9%）、二氯甲烷（AR，≥99.5%）等至少150种有机、无机试剂，耐污染接触时间≥48h，覆盖/未覆盖玻璃盖板，检验结果均为5级（无明显变化）。提供国家化学建材质量检验检测中心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#8.2.2氙弧灯老化测试：依据GB/T 16422.2-2022、GB/T 250-2008标准，通过氙弧灯老化测试（黑标温度计：65℃，循环：102min干燥、18min 喷淋，辐照度：0.51W/（m²·nm），试验时长：≥3500h），色牢度等级≥4级，符合相关技术要求。提供国家化学建材质量检验检测中心出具的带有CMA和CNAS章的检测报告。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8.2.3简支梁缺口冲击强度：依据GB/T 1043.1-2008标准，检测结果≥7kJ/m2。提供国家化学建材质量检验检测中心出具的带有CMA和CNAS章的检测报告。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8.2.4氧指数：依据GB/T 2406.2-2009标准，检测结果≥25%。提供国家化学建材质量检验检测中心出具的带有CMA和CNAS章的检测报告。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#8.2.5须提供绿色产品认证证书</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8.3实验室化验水龙头龙头选用H63黄铜管，使用红冲锻造工艺，不出现砂眼；涂层经哑光环氧树脂粉末涂料热固处理，防紫外线辐射，耐化学腐蚀；陶瓷阀芯可90度旋转、耐磨、耐腐蚀，开关使用寿命测试可达60万次，静态最大耐压2.5MPa，鹅颈出水管可360度旋转；旋钮把手为PP全新料无添加碳酸钙；供水软管：长度1.5米，软性PVC管外覆不锈钢网，外层包裹PE管，有效防止生锈、渗漏。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#8.3.1依据QB/T 1950-2024标准，通过涂层耐盐浴测试（氯化钠溶液浓度30g/L，溶液温度19℃，浸泡时间100h），100h内，溶剂中试样上划道两侧3mm以外无气泡产生；100h后，划道两侧3mm以外无锈迹、剥落、起皱、变色和失光等现象。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8.3.2漆膜划圈试验：依据GB/T 1720-2020标准，负荷≥100g，检测结果不低于1级。提供国家认可的第三方检测机构出具的带有CMA和CNAS章的检测报告。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8.3.3漆膜柔韧性：依据GB/T 1731-2020标准，经轴棒7（长度约为35mm，高度约为10mm，厚度为1mm）测试后无网纹、裂纹及剥落现象。提供国家认可的第三方检测机构出具的带有CMA和CNAS章的检测报告。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#8.3.4涂层耐洗刷性：依据GB/T 9266-2009标准，经过≥4000次循环测试（温度23℃，相对湿度50%RH，洗刷介质为质量分数为0.5%的洗衣粉溶液，pH≥10，每分钟往复37次循环），试验后无明显变化。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8.4洗眼器主体：加厚铜质H59-1；洗眼喷头：加厚铜质环氧树脂涂层外加软性橡胶，出水经缓压处理呈泡沫状水柱，防止冲伤眼睛；莲蓬头护罩：Φ70橡胶质护杯，以避免紧急使用时瞬间接触眼部造成碰撞二次伤害；防尘盖：PP材质，平常可防尘，使用时可随时被水冲开，并降低突然时短暂的高水压，防止冲伤眼睛，防尘盖有连接于护罩可防尘脱落。使用时自动被水冲开；水流锁定开关：水流开启，水流锁定功能一次完成，方便使用；前置过滤器：配有小型前置过滤器主要的去除管道所产生的沉淀杂质和细菌、微生物残骸、铁锈、沙泥等大于5微米以上的颗粒杂质，避免眼睛及人体肌肤受到伤害；供水软管：长度1.5米，软性PVC管外覆不锈钢网，外层包裹PE管，有效防止生锈、渗漏。洗眼量：＞6L/min。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#8.4.1依据GB/T 43002-2023标准，通过涂层耐腐蚀测试（氯化钠溶液浓度30g/L，溶液温度19℃，浸泡时间100h），100h内，溶剂中试样上划道两侧3mm以外无气泡产生；100h后，划道两侧3mm以外无锈迹、剥落、起皱、变色和失光等现象。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8.4.2漆膜划圈试验：依据GB/T 1720-2020标准，负荷≥100g，检测结果不低于1级。提供国家认可的第三方检测机构出具的带有CMA和CNAS章的检测报告。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8.4.3漆膜柔韧性：依据GB/T 1731-2020标准，经轴棒7（长度约为35mm，高度约为10mm，厚度为1mm）测试后无网纹、裂纹及剥落现象。提供国家认可的第三方检测机构出具的带有CMA和CNAS章的检测报告。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#8.4.4涂层耐洗刷性：依据GB/T 9266-2009标准，经过≥4000次循环测试（温度23℃，相对湿度50%RH，洗刷介质为质量分数为0.5%的洗衣粉溶液，pH≥10，每分钟往复37次循环），试验后无明显变化。提供国家认可的第三方检测机构出具的带有CMA和CNAS章的检测报告。</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8.4.5须提供绿色产品认证证书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7E6F61E">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27CC56D">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7AEA8FC">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26,180.00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295A2D6">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26,180.00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CAB63E2">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161AC53">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r>
      <w:tr w14:paraId="7300461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0C527B8">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4</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6916EEC">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全钢双层仪器台</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4592C9A">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规格尺寸：1500*750*1000mm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1.仪器台采用满焊一体式固定结构，其安全性能参GB/T 24820-2024《实验室家具通用技术条件》要求及试验方法；金属框架、钢材及喷塑涂层性能执行 GB/T 3325-2024《金属家具通用技术条件》；环保性能执行国家现行室内家具有害物质限量标准。</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结构工艺：整体采用满焊一体式固定结构双层钢架支撑，整体外形尺寸偏差≤±2mm，双层台面水平度误差≤0.2mm/m，层间距布局合理，符合国标实验室设备安装精度及双层仪器使用规范无外露尖锐棱角、毛刺，焊缝平整顺滑，整体稳定性强。</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3.荷载性能：设备整体及双层台面均布承重、集中荷载性能满足GB/T 24820-2024、GB/T 3325-2024规范要求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#《提供具有国家认证认可的具有CMA或CNAS标志的第三方检测机构出具的双层仪器台成品满足上述要求的规格尺寸以及技术参数的检测报告复印件加盖投标人公章》。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金属钢架框架：采用国标优质冷轧矩形钢管，主框架规格为40×60×2.0mm及以上，双层框架增设辅助承重横梁与竖梁，强化分层承载能力，材质力学性能、结构强度符合GB/T700及GB/T3325-2024标准要求，为仪器台双层结构核心承重主体。</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焊接工艺：框架及双层承重横梁关键部位采用满焊工艺，焊接饱满无虚焊、漏焊、夹渣、气孔；所有焊接位置经打磨、抛光、圆角处理，接缝平滑过渡，无毛刺、焊瘤，外观规整，双层框架一体成型，结构整体性强。</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6.表面预处理：所有钢制构件（主框架、双层横梁、支撑立柱）经过除油、除锈、磷化、钝化四重防腐预处理，彻底清除钢材表面杂质，提升涂层附着力与防腐耐久性能。</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7.表面喷涂工艺：采用环氧树脂粉末静电高温喷涂工艺，高温固化成型，涂层均匀饱满、无针孔、流挂、脱落、色差，具备优异的防腐、耐酸碱、抗腐蚀性能，适配实验室复杂环境。</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#8.涂层理化性能（严格执行GB/T 3325-2024）：</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8.1涂层硬度：≥2H，耐刮擦、耐磨性能优异；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8.2涂层附着力：划格法测试≤1级，无涂层脱落、起皮现象</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8.3抗冲击性能：500mm高度冲击试验，涂层无剥落、裂纹、褶皱、破损；8.4中性盐雾性能：48h盐雾测试，钢材基体无锈点、涂层无腐蚀、起泡、脱落；</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8.5耐湿热性能：可通过240h耐湿热测试，无起皮、锈蚀、变色问题。</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整体承重性能：仪器台整体均布荷载≥600kg/㎡，上下层台面单独均布荷载均可满足600kg/㎡，持续15天静态加载无永久变形、无结构开裂、无焊缝损坏、无层体塌陷，实验设备，无永久变形、塌陷、晃动现象。包含：双层台面、金属框架、承重横梁、、硅胶配件、塑胶件、胶粘剂、五金辅材等所有部件，执行国家现行环保安全标准：1. 有害物质限量：甲醛释放量、TVOC、可溶性重金属（铅、镉、铬、汞）等指标全部达标，无超标挥发物。2. 安全环保：产品无异味、无污染，符合实验室室内安全使用标准，适配密闭实验室环境长期使用。3.耐老化安全：整体设备耐人工气候老化、耐霉菌，双层台面及金属结构长期使用无发霉、异味、性能衰减问题。</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#《提供具有国家认证认可的具有CMA或CNAS标志的第三方检测机构出具的双层仪器台金属钢架涂层理化性能及承重性能满足上述要求的规格尺寸以及技术参数的检测报告复印件加盖投标人公章》。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10.仪器台台面：采用厚度≥22mm（非后期粘贴）一体实芯烧制实验室专用陶瓷板台面。釉面颜色可选，台面耐强腐蚀，耐高温，耐磨，易清洁，使用寿命长，台面转角处做圆弧R≥10 mm防撞安全光滑处理，台面釉面自带厂家清晰的原装品牌防伪标识并需满足以下技术要求：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★10.1仪器台的陶瓷台面放射性核素限量指标符合GB 6566-2010《建筑材料放射性核素限量》标准。仪器台和实验台的陶瓷台面放射性核素限量指标检测结果：内照射指数：≤0.5，外照射指数：≤0.8。需提供国家认证认可的具有CMA或CNAS标志的第三方检测机构出具的厚度≥22mm样品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10.2仪器台（厚度≥22mm）陶瓷台面表面耐化学试剂污染指标要求：参照GB/T 17657-2022《人造板及饰面人造板理化性能试验方法》检测方法，陶瓷台面至少耐10项试剂测试，须包含98%硫酸、65%硝酸、37%盐酸，污染时间48h,检测结果达5级无明显变化。 仪器台（厚度≥22mm）陶瓷台面釉面和坯体要求：经检测，内部结构无直径2mm以上气泡、无杂色，为一体实芯坯体，釉面与坯体之间无脱层，釉面与坯体呈一体结构，釉面颜色可选(非坯体颜色)。 仪器台（厚度≥22mm）陶瓷台面吸水率指标要求：参照GB/T 3810.3-2016《陶瓷砖试验方法 第3部分：吸水率、显气孔率、表观相对密度和容重的测定》检测标准，检测结果为平均值≤0.11%。需提供国家认证认可的具有CMA或CNAS标志的第三方检测机构出具的厚度≥22mm样品检测报告复印件。</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10.3仪器台（厚度≥22mm）陶瓷台面断裂模数指标要求：参照GB/T 3810.4-2016《陶瓷砖试验方法第4部分：断裂模数和破坏强度的测定》检测标准，检测结果平均值：≥44N/mm2。需提供国家认证认可的具有CMA或CNAS标志的第三方检测机构出具的厚度≥22mm样品检测报告复印件。</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C10DF41">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4</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E51B7DD">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0076303">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10,780.00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66E601A">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43,120.00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3148EBA">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F5F0E1F">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是</w:t>
            </w:r>
          </w:p>
        </w:tc>
      </w:tr>
      <w:tr w14:paraId="2099F6F5">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6ECB561">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5</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1F72906">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全钢药品柜</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1ED9C67">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规格尺寸：900*450*600mm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 柜体结构符合GB/T 24820-2024《实验室家具通用技术条件》要求及试验方法</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 柜门/抽屉 柜门采用双层结构，内填充消音材料；铰链采用304不锈钢折页，开合≥10万次无损坏。</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 耐循环盐雾性能 依据GB/T 31588.1-2015、GB/T 1766-2008，进行湿(盐雾)/干燥/湿气循环试验（循环A，30个循环，共240h），试验后涂层表面无起泡、无脱落、无明显变色，保护评级及外观评级均≥9级。《提供具有国家认证认可的具有CMA或CNAS标志的第三方检测机构出具的以上技术参数及规格尺寸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 耐霉菌性 依据GB/T 1741-2020，针对巴西曲霉、变幻青霉等菌种，涂层耐霉菌性等级达到0级。《提供具有国家认证认可的具有CMA或CNAS标志的第三方检测机构出具的以上技术参数的检测报告复印件加盖投标人公章》。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 有害物质释放 依据GB 18584-2024，柜体板材及喷涂表面甲醛、苯、甲苯、二甲苯、总挥发性有机化合物(TVOC)均未检出《提供具有国家认证认可的具有CMA或CNAS标志的第三方检测机构出具的以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 燃烧性能等级 依据GB 8624-2012，柜体材料的燃烧性能等级达到B1级，即难燃材料。</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 中性盐雾性能 依据GB/T 10125-2021、GB/T 6461-2002，进行中性盐雾试验500h，涂层保护评级及外观评级均达到10级无任何腐蚀点。</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 层板 层板采用钢板，厚度≥1.0mm，承重≥50kg/层，高度可调节。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 拉手 采用一体成型拉手。</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 可调脚 配备防滑、防震、耐腐蚀的注塑可调脚，调节范围≥30mm。</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395F15D">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8</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A593D60">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台</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C945561">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2,695.00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19C4B59">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21,560.00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C56893F">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2E9101A">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r>
      <w:tr w14:paraId="57E65AD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FD093AA">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6</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FBD89E5">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全钢中央实验台功能模块</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55FE551">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规格尺寸：3600*600*1350mm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中央实验台上部功能模块包含：吊柜(全钢，带活动层板)、试剂架(全钢立柱+钢化玻璃层板，高度可调)配套电路系统(国标五孔插座+国标电线+过载保护)、现场安装时须对已投入使用的实验台进行防尘保护，对现有投入使用的中央实验台陶瓷板台面进行现场开孔用于试剂架立柱安装，并提供安装全过程成品保护(台面覆盖、地面保护、设备隔离)。</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 试剂架试剂架模块须符合GB/T 24820-2024《实验室家具通用技术条件》要求及试验方法</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主体结构采用全钢框架结构，立柱采用冷轧钢板折弯成型，表面经环氧树脂粉末静电喷涂处理。层板高度可调节。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2.1试剂架满足耐循环盐雾性能依据GB/T 31588.1-2015、GB/T 1766-2008，进行湿(盐雾)/干燥/湿气循环试验（循环A，30个循环，共240h），试验后涂层表面无起泡、无脱落、无明显变色，保护评级及外观评级均≥9级。《提供具有国家认证认可的具有CMA或CNAS标志的第三方检测机构出具的试剂架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#2.2试剂架 抗菌性能 依据QB/T 4371-2012，针对恶臭假单胞菌、霍乱弧菌，抑菌率均≥99%。《提供具有国家认证认可的具有CMA或CNAS标志的第三方检测机构出具的试剂架满足上述要求的规格尺寸以及技术参数的检测报告复印件加盖投标人公章》。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#2.3试剂架 耐霉菌性 依据GB/T 1741-2020，针对康宁木霉、桔皮青霉，耐霉菌性等级达到0级。《提供具有国家认证认可的具有CMA或CNAS标志的第三方检测机构出具的试剂架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#2.4试剂架有害物质释放 依据GB 18584-2024，柜体喷涂表面甲醛、苯、甲苯、二甲苯、总挥发性有机化合物(TVOC)均未检出；可迁移有害元素8项（铅、镉、铬、汞、砷、钡、锑、硒）均未检出。《提供具有国家认证认可的具有CMA或CNAS标志的第三方检测机构出具的试剂架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2.5试剂架 中性盐雾性能 依据GB/T 10125-2021、GB/T 6461-2002，进行中性盐雾试验500h，涂层保护评级及外观评级均达到10级《提供具有国家认证认可的具有CMA或CNAS标志的第三方检测机构出具的试剂架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3.吊柜模块须符合GB/T 24820-2024《实验室家具通用技术条件》要求及试验方法。</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3.1吊柜柜体采用全钢结构，钢板厚度≥1.0mm（柜体）/≥1.2mm（承重部位），表面经环氧树脂粉末静电喷涂处理。吊柜底部配备加强筋，确保承重不变形。</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3.2吊柜柜门/铰链 柜门采用双层结构，内填充消音材料；铰链采用304不锈钢折页，开合≥10万次无损坏；</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3.3吊柜 燃烧性能等级 依据GB 8624-2012，柜体材料的燃烧性能等级达到B1级《提供具有国家认证认可的具有CMA或CNAS标志的第三方检测机构出具的全钢吊柜满足上述要求的规格尺寸以及技术参数的检测报告复印件加盖投标人公章》。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#3.4吊柜 耐液体性 依据GB/T 30648.1-2014，进行耐液体性试验（5%氢氧化钠溶液，240h），试验后涂层无起泡、无脱落、无明显变化。《提供具有国家认证认可的具有CMA或CNAS标志的第三方检测机构出具的全钢吊柜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#3.5吊柜抗菌性能 依据QB/T 4371-2012，针对枯草芽孢杆菌、表皮葡萄球菌、鼠伤寒沙门氏菌、乙型溶血性链球菌，抑菌率均≥99%。《提供具有国家认证认可的具有CMA或CNAS标志的第三方检测机构出具的全钢吊柜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#3.6吊柜钢材力学性能 依据GB/T 228.1-2021，钢材下屈服强度≥235MPa，抗拉强度370-500MPa，断后伸长率≥12%。《提供具有国家认证认可的具有CMA或CNAS标志的第三方检测机构出具的全钢吊柜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#3.7吊柜钢材化学成分 依据GB/T 4336-2016，钢材化学成分：C≤0.22%、Si≤0.35%、Mn≤1.4%、P≤0.035%、S≤0.035%。《提供具有国家认证认可的具有CMA或CNAS标志的第三方检测机构出具的全钢吊柜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3.8吊柜维氏硬度 依据GB/T 4340.1-2024，钢材维氏硬度HV≥50。《提供具有国家认证认可的具有CMA或CNAS标志的第三方检测机构出具的全钢吊柜满足上述要求的规格尺寸以及技术参数的检测报告复印件加盖投标人公章》。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3.9吊柜洛氏硬度 依据GB/T 230.1-2018，钢材洛氏硬度HRC≥23。铜加速盐雾性能 依据GB/T 10125-2021、GB/T 6461-2002，进行铜加速乙酸盐雾试验500h，涂层保护评级及外观评级均达到10级。《提供具有国家认证认可的具有CMA或CNAS标志的第三方检测机构出具的全钢吊柜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3.10吊柜层板采用钢板材质，厚度≥1.0mm，承重≥50kg/层，高度可调节。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3.11吊柜拉手采用一体成型拉手或304不锈钢拉手，耐腐蚀。</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4.配电装置模块</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4.1配电装置-插座：试剂架/吊柜配套防水防尘插座，220V/10A，数量按甲方要求安装，提供电源插座3C认证证书</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4.2配电装置布线电线采用国标铜芯线，线径≥4mm²。</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4.3配电装置开关/漏保配备空气开关及漏电保护器，符合GB 16917.1要求。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4.3配电装置接地所有金属外壳可靠接地，接地电阻≤4Ω。</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5.现场开孔范围及位置</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5.1根据试剂架立柱安装位置，在原有已投入使用的陶瓷台面上钻固定孔，孔径与紧固件匹配，具体孔径、孔数以现场实际需求为准。开孔前须经采购人现场确认孔位，不得擅自开孔。</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5.2开孔质量要求孔位准确，误差不得超过±2mm。开孔边缘须整齐光滑，不得出现崩边、开裂、暗裂等任何损坏。如开孔过程中发生上述损坏，投标人须承担全部修复责任（包括材料费、人工费），若无法修复须按原价更换整块陶瓷台面，所有费用已包含在投标报价中。</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5.3 开孔密封处理开孔完成后，须在孔壁与紧固件之间做防水防潮密封处理。密封材料须采用中性防霉密封胶或配套防水垫圈，确保长期使用不渗水、不老化。</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5.4不可预见情况处理开孔时若发现台面下方存在不明管线（如水电管路、气体管路等），投标人须立即停止作业，第一时间通知采购人。双方现场确认管线性质及走向，制定安全方案后方可继续施工。因投标人盲目施工导致管线损坏的，由投标人承担全部修复责任及由此造成的一切损失。</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5.5开孔工具及工艺要求推荐采用湿式钻孔或带吸尘功能的开孔工具，从源头减少粉尘扩散。须配备工业级吸尘器，边钻孔边吸尘，防止粉尘飘散至实验室环境。开孔工具须为专用陶瓷开孔器，不得使用普通钻头。</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5.6开孔作业验收每个开孔完成后，由采购人当场检查。验收标准：孔位准确、边缘完整无崩裂、密封处理到位、周边无可见粉尘。未通过验收的，投标人须立即整改，直至合格</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6.保护范围投标人须对实验室内以下对象进行全过程成品保护（从进场到撤场）保护对象具体要求：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6.1现有实验设备采用防尘布、塑料薄膜或定制保护罩全覆盖隔离，防止粉尘、液体、工具碰撞陶瓷台面（无需开孔部分及开孔区域周边）铺设橡胶垫、珍珠棉或石膏板，覆盖范围超出作业区≥500mm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6.2实验台抽屉及柜体 拆除抽屉前对轨道、柜体内部贴保护膜；拆除后的抽屉单独存放，底部铺垫软布</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6.3实验室地面 铺设保护垫或瓦楞纸板，通道区域加铺多层板</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6.4墙面及门窗 靠近作业区域的墙面贴保护膜</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6.5通风及电气设施 对风口、插座等进行临时封堵，防止粉尘进入</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6.6抽屉拆装及物品管理拆装流程拆除抽屉前，须经采购人现场确认，对每个抽屉进行编号并记录对应位置。拆除时轻拿轻放，保护抽屉轨道及面板，不得强行拉拽。拆除后的抽屉集中存放于采购人指定区域，底部及四周铺垫软布，防止磕碰划伤。开孔及清理完成后，按原编号顺序恢复抽屉安装，并测试推拉是否顺畅。物品清空及保管拆除抽屉前，将抽屉内所有物品取出，分类（普通物品、易碎品、试剂等）并标记所属抽屉编号。使用专用收纳箱临时存放，存放地点须经采购人同意，确保安全、防尘、防潮。作业完成后，按标记将物品放回原抽屉原位置。特殊物品（试剂、样品、精密仪器等）须由采购人自行转移，投标人不得触碰。投标人须提前与采购人协调物品转移时间。</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6.7防尘及灰尘控制对开孔区域周边进行密封隔离，使用防尘布+美纹纸将作业区与实验室其他区域分隔。对实验台抽屉轨道、柜体缝隙、相邻设备散热口等易进尘部位进行封堵。在开孔正下方铺设集尘垫或接尘盘。作业中降尘措施采用湿式钻孔或带吸尘功能的开孔工具。配备工业级吸尘器，边钻孔边吸尘。作业人员须佩戴防尘口罩及护目镜。作业后粉尘清理开孔完成后，立即用吸尘器清理开孔周边及台面。拆除防尘布后，对实验台台面、抽屉轨道、柜体内部、地面进行二次吸尘+湿抹布擦拭。清理过程不得使用普通扫把（避免扬尘），必须使用吸尘器+湿布。</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6.8粉尘清理验收标准清理完成后，由采购人现场检查。验收标准：以白色湿巾擦拭开孔周边及抽屉轨道，无可见粉尘为合格。未通过验收的，投标人须无条件重新清理，直至合格。</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6.9成品保护责任所有保护措施须在施工前经采购人确认，撤场前拆除并清理残留物。因保护不到位造成任何损坏（包括但不限于台面划伤、设备污染、轨道卡滞、地面压痕等），投标人须恢复原状或照价赔偿。因粉尘控制不力导致实验室设备故障或实验数据异常的，投标人须承担全部责任及赔偿。</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AED2713">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23</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700C4CB">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38A5EC3">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24,750.00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E622F76">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569,250.00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0418D9E">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FE11DD9">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是</w:t>
            </w:r>
          </w:p>
        </w:tc>
      </w:tr>
      <w:tr w14:paraId="1D85594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41FBE36">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7</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0D0DC1C">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全钢中央实验台功能模块</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798E462">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4500*600*1350mm技术指标同上</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F7E3EA5">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24</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9361EE1">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C4B5689">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25,630.00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1439379">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615,120.00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5F312F6">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FEC3A0D">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是</w:t>
            </w:r>
          </w:p>
        </w:tc>
      </w:tr>
      <w:tr w14:paraId="2515FA45">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87A844C">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8</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F32536F">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全钢中央实验台功能模块</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8B76FEA">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4200*600*1350mm技术指标同上</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04D2C63">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BACBDA3">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CF3F0BA">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23,114.00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566F998">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23,114.00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BB38E28">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27B5285">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是</w:t>
            </w:r>
          </w:p>
        </w:tc>
      </w:tr>
      <w:tr w14:paraId="1A6F249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BBEE857">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9</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5E42454">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全钢中央实验台功能模块</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C52725F">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3000*600*1350mm技术指标同上</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1FA87C5">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8</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3376190">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EA6B8B7">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22,880.00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D09116F">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183,040.00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BBEA990">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F79FE76">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是</w:t>
            </w:r>
          </w:p>
        </w:tc>
      </w:tr>
      <w:tr w14:paraId="4205EF1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55B0067">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F2B3A1F">
            <w:pPr>
              <w:widowControl/>
              <w:snapToGrid w:val="0"/>
              <w:jc w:val="center"/>
              <w:textAlignment w:val="center"/>
              <w:rPr>
                <w:rFonts w:ascii="宋体" w:hAnsi="宋体"/>
                <w:color w:val="FF0000"/>
                <w:sz w:val="20"/>
                <w:szCs w:val="20"/>
              </w:rPr>
            </w:pPr>
            <w:r>
              <w:rPr>
                <w:rFonts w:hint="eastAsia" w:ascii="宋体" w:hAnsi="宋体" w:cs="宋体"/>
                <w:color w:val="000000" w:themeColor="text1"/>
                <w:kern w:val="0"/>
                <w:sz w:val="20"/>
                <w:szCs w:val="20"/>
                <w:lang w:bidi="ar"/>
                <w14:textFill>
                  <w14:solidFill>
                    <w14:schemeClr w14:val="tx1"/>
                  </w14:solidFill>
                </w14:textFill>
              </w:rPr>
              <w:t>单气瓶柜</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86194C6">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规格尺寸：500*500*1900mm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1.整体钢制结构，须符合GB/T 24820-2024《实验室家具通用技术条件》要求及试验方法</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2.整体结构：整机加厚全钢一体式无缝焊接结构，无木质、无塑料、无低密度承重件，整体刚性极强、抗冲击、抗形变、抗震防晃</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3.环境适配：可长期适应实验室酸碱雾气、有机溶剂挥发、高湿、恒温交变工况，耐老化、耐腐蚀、不生锈、不变色。</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 板材配置：柜体门板、侧板、后背板、层板全部采用≥1.0mm冷轧钢板；底部承重底板、立柱加强筋采用≥2.0mm加厚冷轧钢板，整体承重冗余量大、结构永不变形。</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5.防腐预处理：所有钢构件采用六重防腐工艺（除油→水洗→酸洗→中和→磷化→钝化），完全去除钢材表面氧化层、油污、杂质，杜绝后期脱粉、生锈、起皮隐患。</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 静电喷涂工艺：采用实验室专用高耐候环氧树脂粉末，全自动静电高压喷涂、200℃高温固化成型，涂层致密无孔隙、耐化学腐蚀、耐溶剂擦拭、抗老化、不褪色、不黄变。</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7.漆膜厚度：整体涂层厚度65–120μm，厚层防护、防腐耐；《提供具有国家认证认可的具有CMA或CNAS标志的第三方检测机构出具的成品满足上述要求的规格尺寸以及技术参数的检测报告复印件加盖投标人公章》。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涂层硬度：≥3H超高硬度，耐钢丝绒擦拭、耐刮擦、耐实验溶剂擦拭无痕迹；《提供具有国家认证认可的具有CMA或CNAS标志的第三方检测机构出具的成品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9.涂层附着力：划格法测试0级，涂层不脱落、不起皮；《提供具有国家认证认可的具有CMA或CNAS标志的第三方检测机构出具的成品满足上述要求的规格尺寸以及技术参数的检测报告复印件加盖投标人公章》。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10.抗冲击性能：600mm高度垂直冲击，涂层无裂纹、无剥落、无褶皱；</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#11. 高耐盐雾性能：通过100h中性盐雾测试，防腐等级10级，无锈点、无起泡、无涂层破损；</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#12. 高耐湿热性能：通过480h耐湿热试验，长期潮湿实验室环境不生锈、不变色；</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13.通风置换系统：上下分体式百叶通风结构，风道优化设计，风阻小、换气量大，可对接实验室集中排风系统，快速置换微量泄漏气体，杜绝气体积聚。</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#14. 五金耐久性能：所有活动五金、调节结构经20000次往复耐久测试，无卡顿、无松动、无失效，长效稳定。《提供具有国家认证认可的具有CMA或CNAS标志的第三方检测机构出具的成品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#15. 整机所有钢材、喷涂粉末、五金配件、密封辅料、胶粘剂全部符合GB 18584-2024最高限值要求：甲醛、TVOC、苯系物、可溶性重金属均未检出，整机无异味、无挥发污染，适配密闭实验室、精密检测实验室、洁净实验室高标准环保使用要求。《提供具有国家认证认可的具有CMA或CNAS标志的第三方检测机构出具的成品满足上述要求的规格尺寸以及技术参数的检测报告复印件加盖投标人公章》。</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2953DC8">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726FF0ED">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台</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B7ABB0B">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4,950.00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E667415">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9,900.00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AEAA830">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FF3E58C">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r>
      <w:tr w14:paraId="690BC9A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E04840C">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11</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E4AA92E">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万象排气罩</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41494E56">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规格尺寸：三段式</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1.产品名称：实验室万向抽气罩专为理化实验室、精密仪器实验室设计，用于实验废气、异味、粉尘局部快速收集排放，可任意悬停定位、灵活转向、无死角排风。</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2.整体性能：产品具备优异的耐高低温、耐老化、耐酸碱腐蚀、抗形变、高强度特性，适配实验室各类酸碱、有机溶剂、高低温工况环境，长期使用不变形、不老化、不漏气、无松动。</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3.安全环保：产品所有材质无有害重金属、无超标挥发性有机物，符合RoHS环保指令及国家实验室设备安全标准，使用安全无污染。</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 高温静态老化性能：产品在110℃环境下持续放置168h，表面无起泡、无裂纹、无明显失光、无变色，外观及使用性能无衰减。《提供具有国家认证认可的具有CMA或CNAS标志的第三方检测机构出具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 人工气候加速老化性能：经500h人工气候加速老化试验后，产品表面无起泡、无裂纹、无明显变色，结构及性能完好。《提供具有国家认证认可的具有CMA或CNAS标志的第三方检测机构出具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 高温力学老化性能：100℃环境持续60h高温老化后，产品拉断力≥900N《提供具有国家认证认可的具有CMA或CNAS标志的第三方检测机构出具的检测报告复印件加盖投标人公章》。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7.低温力学老化性能：-40℃环境持续60h低温老化后，产品拉断力≥920N《提供具有国家认证认可的具有CMA或CNAS标志的第三方检测机构出具的检测报告复印件加盖投标人公章》。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8.耐高温使用性能：可长期耐受+120℃高温工况，试验后产品无损坏、可正常稳定使用。《提供具有国家认证认可的具有CMA或CNAS标志的第三方检测机构出具的检测报告复印件加盖投标人公章》。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9. 紫外老化性能：经200h紫外老化试验后，产品颜色无变化，老化后拉伸拉力≥70MPa（实测75MPa），抗紫外老化能力强。《提供具有国家认证认可的具有CMA或CNAS标志的第三方检测机构出具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10. 关节耐久性能：产品活动关节、旋转结构经20000次往复耐久试验后，活动灵活顺畅，无松动、无断裂、无损坏，零部件无影响使用功能的磨损、变形，长期悬停定位精准不滑落。《提供具有国家认证认可的具有CMA或CNAS标志的第三方检测机构出具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11. 负荷变形性能：依据国标试验，产品负荷变形挠度可达0.34mm，结构抗形变能力优异。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12. 维卡软化温度：产品维卡软化温度≥92℃，高温环境下不易软化变形。</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13. 抗冲击性能：简支梁冲击强度≥150kJ/m²，抗冲击、抗碎裂性能优良。</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14.产品主体塑料材质力学强度高，韧性好，抗拉伸、抗断裂，实测指标全部达标：拉伸应力≥70MPa；拉伸屈服应力≥65MPa；拉伸强度≥100MPa；拉伸应变应力≥90MPa；拉伸断裂应力≥280MPa；拉伸应变≥8%，韧性优异不易脆断。</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15. 熔体质量流动速率≥30g/10min；</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16. 熔体体积流动速率≥20cm³/10min（实测28cm³/10min）；</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材质熔融稳定性好，注塑成型均匀，结构致密无缺陷。</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17. 耐化学试剂性能：产品分别经30%硫酸、30%氢氧化钠、甲苯、乙醚试剂16h浸泡试验，腐蚀等级均达5级，表面无明显变化，耐强酸、强碱、有机溶剂腐蚀。</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18. 中性盐雾耐腐蚀：48h中性盐雾试验，喷雾压力98KPa，防腐等级达10级，产品无腐蚀破坏、无锈点，防腐性能优异（依据GB/T 10125-2021）。</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19. 混合气体腐蚀：4d流动混合气体腐蚀试验（温度25±1℃、湿度75±3%），样品无腐蚀、无变质。</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20. 硫化氢、二氧化硫腐蚀试验：多项酸性气体腐蚀试验后，产品无变化、无锈蚀、无老化失效。</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21. 温振综合耐受：通过温度、湿度、振动综合环境试验，适配实验室复杂工况长期使用。产品透明部件透光率≥93%，透光性好、视野清晰、无浑浊，便于观察内部排风工况。</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22.万象排气罩符合RoHS环保指令要求，以下有害物质均未检出，满足实验室绿色环保使用标准：铅、汞、镉、六价铬、多溴联苯（PBBs）、多溴二苯醚（PBDEs）、邻苯二甲酸二丁酯（DBP）、邻苯二甲酸丁苄酯（BBP）、邻苯二甲酸二(2-乙基己基)酯（DEHP）、邻苯二甲酸二异丁酯（DIBP）。《提供具有国家认证认可的具有CMA或CNAS标志的第三方检测机构出具的检测报告复印件加盖投标人公章》。</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44F0033">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20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5C77EE4">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套</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15BCCEA">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6,160.00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9D10FEA">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123,200.00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20138A4">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63EE063F">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r>
      <w:tr w14:paraId="35C0787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488CE61">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12</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0F620082">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功能住</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DBA4794">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规格尺寸：400*200*2100mm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1.功能柱为钢制结构，其安全性能参《实验室家具通用技术条件》（GB/T 24820-2024）《金属家具通用技术条件》（GB/T 3325-2024）规范要求执行</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功能柱主体采用优质冷轧钢制型材一体成型，材质强度高、韧性好、不易变形，满足长期立式承载、设备挂载、线路承重使用要求。所有焊接部位饱满密实，无虚焊、漏焊、夹渣、气孔；焊缝经精细打磨抛光，平整顺滑、无焊瘤、无毛刺。冲压、铸造构件无微观裂纹、无砂眼缺陷，构件精度优良。</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3.防腐预处理工艺所有钢制构件均经过除油、除锈、磷化、钝化四重防腐预处理，彻底去除钢材表面氧化杂质，大幅提升涂层附着力、耐腐蚀性及整体使用寿命。</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4.表面喷涂工艺采用环氧树脂粉末静电高温喷涂、高温固化成型工艺，涂层均匀饱满、致密无孔隙，无流挂、疙瘩、针孔、开裂、脱落等外观缺陷，耐酸碱、耐腐蚀、耐污易清洁，适配实验室复杂腐蚀环境。</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#5.喷涂理化性能指标</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5.1漆膜厚度：150~180μm，厚度均匀偏差≤±3μm，防护层厚度充足、覆盖均匀；</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5.2涂层硬度：铅笔硬度≥2H，无塑性变形、无涂层破损，耐刮擦、耐磨性能优异；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5.3抗冲击性能：600mm高度冲击试验，涂层无剥落、无裂纹、无褶皱损伤；</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5.4涂层附着力：划格法测试≤1级，涂层附着牢固，无起皮、脱落现象；</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5.5色泽均匀性：整体色差≤1.2，整柱色泽统一、无明显色差；</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5.6耐盐雾防腐性能：可通过100h中性盐雾试验，防腐评级10级，金属基体无锈点、无腐蚀，涂层完好率100%。</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5.7《提供具有国家认证认可的具有CMA或CNAS标志的第三方检测机构出具的全钢功能柱满足上述要求的规格尺寸以及技术参数的检测报告复印件加盖投标人公章》。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 力学强度与耐久性能</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6.1结构承载强度：产品可承受2倍额定载荷长期加载，零部件无断裂、无脱落、无永久松动，主体位移量＜5mm，结构稳定性极强；</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6.2整体稳定性：2倍额定载荷工况下，倾斜角度≥20°无倾翻，使用安全可靠；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6.3构件耐久性：配套活动配件、开合构件经10000次以上反复动作，无卡顿、无故障、无损坏；</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6.4装配精度：各拼接缝隙、对位位差≤0.8mm，间隙均匀、贴合严密、外观规整。</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6.5《提供具有国家认证认可的具有CMA或CNAS标志的第三方检测机构出具的全钢功能柱满足上述要求的规格尺寸以及技术参数的检测报告复印件加盖投标人公章》。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 环保性能指标</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产品所有用材（金属基材、喷涂粉末、塑胶配件、胶粘剂、各类辅材）均符合最新家具有害物质限量标准，实测数据优异：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7.1甲醛释放量：≤0.02mg/m³（实测0.006mg/m³）；</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7.2苯、甲苯、二甲苯：均未检出；</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7.3TVOC总挥发性有机物：≤0.01mg/m³（实测0.005mg/m³）；</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7.4产品无异味、零污染，适配密闭实验室长期安全使用，无有害物质挥发风险.</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7.5《提供具有国家认证认可的具有CMA或CNAS标志的第三方检测机构出具的全钢功能柱满足上述要求的规格尺寸以及技术参数的检测报告复印件加盖投标人公章》。</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E58D621">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11B6FE8">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组</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34A0C86F">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1,815.00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17362A29">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18,150.00</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5DC04A0B">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nil"/>
              <w:right w:val="nil"/>
            </w:tcBorders>
            <w:shd w:val="clear" w:color="auto" w:fill="auto"/>
            <w:tcMar>
              <w:top w:w="-1" w:type="dxa"/>
              <w:left w:w="-1" w:type="dxa"/>
              <w:bottom w:w="-1" w:type="dxa"/>
              <w:right w:w="-1" w:type="dxa"/>
            </w:tcMar>
            <w:vAlign w:val="center"/>
          </w:tcPr>
          <w:p w14:paraId="279D28DC">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r>
      <w:tr w14:paraId="0F372A1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64F3D0A4">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78980881">
            <w:pPr>
              <w:widowControl/>
              <w:snapToGrid w:val="0"/>
              <w:jc w:val="center"/>
              <w:textAlignment w:val="center"/>
              <w:rPr>
                <w:rFonts w:ascii="宋体" w:hAnsi="宋体"/>
                <w:color w:val="000000"/>
                <w:sz w:val="20"/>
                <w:szCs w:val="20"/>
              </w:rPr>
            </w:pPr>
            <w:r>
              <w:rPr>
                <w:rFonts w:hint="eastAsia" w:ascii="宋体" w:hAnsi="宋体" w:cs="宋体"/>
                <w:color w:val="000000" w:themeColor="text1"/>
                <w:kern w:val="0"/>
                <w:sz w:val="20"/>
                <w:szCs w:val="20"/>
                <w:lang w:bidi="ar"/>
                <w14:textFill>
                  <w14:solidFill>
                    <w14:schemeClr w14:val="tx1"/>
                  </w14:solidFill>
                </w14:textFill>
              </w:rPr>
              <w:t>安全柜</w:t>
            </w:r>
          </w:p>
        </w:tc>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7B8B3066">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规格尺寸：480*500*1900mm</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1.柜体：需全部采用不低于1.2mm 的一级冷轧钢板，柜体底座需采用不低于2.0mm的一级冷轧钢板,内外表面需经酸洗磷化环氧树脂粉末喷涂，烘热固化处理，喷涂塑粉甲醛报告限值不大于5mg/kg;甲苯报告限值不大于0.1%；苯报告限值不大于0.002%，《提供具有国家认证认可的具有CMA或CNAS标志的第三方检测机构出具的满足上述要求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2.整柜全部通过点焊接，防火性好。柜体在90分钟耐火实验过程中，储存易燃品安全柜的最高温度不超过48℃，柜内易燃品盛液容器或器皿无裂痕.无泄漏，完好无好《提供具有国家认证认可的具有CMA或CNAS标志的第三方检测机构出具的满足上述要求的检测报告复印件加盖投标人公章》。</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 xml:space="preserve">#3.提供满足GB3836.1-2010/GB3836.8-2014的柜体防爆认证证书；柜体外观.结构.性能.安全符合JY0001-2003.JY0002-2004检测标准，提供专业机构出具的2019年易燃品存储柜耐用性检测报告为佐证。 </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4 柜门：钢琴式铰链可轻松自如启闭180度，门与柜体间配有嵌入式防撞胶粒。</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防火材料: 柜体应填充具有保温隔热作用的防火材料陶瓷纤维；</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 xml:space="preserve">5.层板：不少于4块镀锌层板，承重≥100kg，并可引流漏液至下部漏液槽。 </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6.漏液槽：高度≥50mm使层板上意外流下的液体不外溢柜外</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7.锁具：三点联动式门锁即使不转动把手也可保证完全闭合，配机械防腐挂锁。机械锁应符合 GA/T 73 的要求；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8.铰链：钢琴式铰链，确保门能开180度。柜体门与柜体之间安装防火膨胀密封条，密封条应符合GB16807-2009的要求。</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 xml:space="preserve">9.警示标识：专业规范的警示，反光.烟雾中可视。 </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 xml:space="preserve">10.通风口：装设有防闭火装置的双透气孔。 </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11.静电接地：严格按照OSHA规范，柜身设有静电接地传导端口，方便连接静电接地导线。</w:t>
            </w:r>
            <w:r>
              <w:rPr>
                <w:rFonts w:hint="eastAsia" w:ascii="宋体" w:hAnsi="宋体" w:cs="宋体"/>
                <w:color w:val="000000" w:themeColor="text1"/>
                <w:kern w:val="0"/>
                <w:sz w:val="22"/>
                <w:szCs w:val="22"/>
                <w:lang w:bidi="ar"/>
                <w14:textFill>
                  <w14:solidFill>
                    <w14:schemeClr w14:val="tx1"/>
                  </w14:solidFill>
                </w14:textFill>
              </w:rPr>
              <w:br w:type="textWrapping"/>
            </w:r>
            <w:r>
              <w:rPr>
                <w:rFonts w:hint="eastAsia" w:ascii="宋体" w:hAnsi="宋体" w:cs="宋体"/>
                <w:color w:val="000000" w:themeColor="text1"/>
                <w:kern w:val="0"/>
                <w:sz w:val="22"/>
                <w:szCs w:val="22"/>
                <w:lang w:bidi="ar"/>
                <w14:textFill>
                  <w14:solidFill>
                    <w14:schemeClr w14:val="tx1"/>
                  </w14:solidFill>
                </w14:textFill>
              </w:rPr>
              <w:t>#12.易燃易爆储存柜需符合HJ2547-2016《环境标志产品技术要求 家具》行业标准,符合中国环境标志产品认证实施规则ECC-1031EL-A/0的要求,提供相关认证证书,并附有产品名称等信息,证书带有二维码可查询证书基本信息,同时证书需带有十环标志。</w:t>
            </w:r>
          </w:p>
        </w:tc>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25CCBCDB">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3A75E484">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台</w:t>
            </w:r>
          </w:p>
        </w:tc>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57CC7651">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5,280.00</w:t>
            </w:r>
          </w:p>
        </w:tc>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59E3DD83">
            <w:pPr>
              <w:widowControl/>
              <w:snapToGrid w:val="0"/>
              <w:jc w:val="center"/>
              <w:textAlignment w:val="center"/>
              <w:rPr>
                <w:rFonts w:ascii="宋体" w:hAnsi="宋体"/>
                <w:color w:val="000000"/>
                <w:sz w:val="22"/>
                <w:szCs w:val="22"/>
              </w:rPr>
            </w:pPr>
            <w:r>
              <w:rPr>
                <w:rFonts w:hint="eastAsia" w:ascii="宋体" w:hAnsi="宋体" w:cs="宋体"/>
                <w:color w:val="000000" w:themeColor="text1"/>
                <w:kern w:val="0"/>
                <w:sz w:val="22"/>
                <w:szCs w:val="22"/>
                <w:lang w:bidi="ar"/>
                <w14:textFill>
                  <w14:solidFill>
                    <w14:schemeClr w14:val="tx1"/>
                  </w14:solidFill>
                </w14:textFill>
              </w:rPr>
              <w:t>42,240.00</w:t>
            </w:r>
          </w:p>
        </w:tc>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07A6BFD5">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c>
          <w:tcPr>
            <w:tcW w:w="0" w:type="auto"/>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center"/>
          </w:tcPr>
          <w:p w14:paraId="41E83954">
            <w:pPr>
              <w:widowControl/>
              <w:snapToGrid w:val="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否</w:t>
            </w:r>
          </w:p>
        </w:tc>
      </w:tr>
    </w:tbl>
    <w:p w14:paraId="1175D1C1">
      <w:pPr>
        <w:spacing w:line="360" w:lineRule="auto"/>
        <w:ind w:firstLine="480" w:firstLineChars="200"/>
        <w:rPr>
          <w:rFonts w:ascii="宋体" w:hAnsi="宋体"/>
          <w:sz w:val="24"/>
        </w:rPr>
      </w:pPr>
    </w:p>
    <w:p w14:paraId="1AC71C03">
      <w:pPr>
        <w:spacing w:line="360" w:lineRule="auto"/>
        <w:ind w:firstLine="480" w:firstLineChars="200"/>
        <w:outlineLvl w:val="0"/>
        <w:rPr>
          <w:sz w:val="24"/>
        </w:rPr>
      </w:pPr>
      <w:r>
        <w:rPr>
          <w:rFonts w:hint="eastAsia"/>
          <w:sz w:val="24"/>
        </w:rPr>
        <w:t>注：</w:t>
      </w:r>
    </w:p>
    <w:p w14:paraId="638A71BC">
      <w:pPr>
        <w:spacing w:line="360" w:lineRule="auto"/>
        <w:ind w:firstLine="480" w:firstLineChars="200"/>
        <w:outlineLvl w:val="0"/>
        <w:rPr>
          <w:sz w:val="24"/>
        </w:rPr>
      </w:pPr>
      <w:r>
        <w:rPr>
          <w:sz w:val="24"/>
        </w:rPr>
        <w:t>加注“</w:t>
      </w:r>
      <w:r>
        <w:rPr>
          <w:rFonts w:hint="eastAsia" w:ascii="宋体" w:hAnsi="宋体" w:cs="宋体"/>
          <w:sz w:val="24"/>
        </w:rPr>
        <w:t>★</w:t>
      </w:r>
      <w:r>
        <w:rPr>
          <w:sz w:val="24"/>
        </w:rPr>
        <w:t>”号条款为实质性条款，不得出现负偏离，发生负偏离即做无效标处理。</w:t>
      </w:r>
    </w:p>
    <w:p w14:paraId="5D8040F7">
      <w:pPr>
        <w:spacing w:line="360" w:lineRule="auto"/>
        <w:ind w:firstLine="480" w:firstLineChars="200"/>
        <w:outlineLvl w:val="0"/>
        <w:rPr>
          <w:sz w:val="24"/>
        </w:rPr>
      </w:pPr>
      <w:r>
        <w:rPr>
          <w:rFonts w:hint="eastAsia"/>
          <w:sz w:val="24"/>
        </w:rPr>
        <w:t>加注“▲”号的产品为核心产品（本项目中可将“全钢中央台”和“全钢实验边台”设为核心产品）。</w:t>
      </w:r>
    </w:p>
    <w:p w14:paraId="513A208C">
      <w:pPr>
        <w:spacing w:line="360" w:lineRule="auto"/>
        <w:ind w:firstLine="480" w:firstLineChars="200"/>
        <w:outlineLvl w:val="0"/>
        <w:rPr>
          <w:sz w:val="24"/>
        </w:rPr>
      </w:pPr>
      <w:r>
        <w:rPr>
          <w:rFonts w:hint="eastAsia"/>
          <w:sz w:val="24"/>
        </w:rPr>
        <w:t>加注“#”号的为重要指标，负偏离将扣分；未标记的为常规参数。</w:t>
      </w:r>
    </w:p>
    <w:p w14:paraId="3DFF803D">
      <w:pPr>
        <w:spacing w:line="360" w:lineRule="auto"/>
        <w:ind w:firstLine="482" w:firstLineChars="200"/>
        <w:rPr>
          <w:rFonts w:ascii="宋体" w:hAnsi="宋体"/>
          <w:b/>
          <w:sz w:val="24"/>
        </w:rPr>
      </w:pPr>
      <w:r>
        <w:rPr>
          <w:rFonts w:hint="eastAsia" w:ascii="宋体" w:hAnsi="宋体"/>
          <w:b/>
          <w:sz w:val="24"/>
        </w:rPr>
        <w:t>五、商务要求</w:t>
      </w:r>
    </w:p>
    <w:p w14:paraId="0D170F50">
      <w:pPr>
        <w:widowControl/>
        <w:spacing w:line="360" w:lineRule="auto"/>
        <w:ind w:firstLine="480" w:firstLineChars="200"/>
        <w:jc w:val="left"/>
        <w:rPr>
          <w:sz w:val="24"/>
        </w:rPr>
      </w:pPr>
      <w:r>
        <w:rPr>
          <w:sz w:val="24"/>
        </w:rPr>
        <w:t xml:space="preserve">1. </w:t>
      </w:r>
      <w:r>
        <w:rPr>
          <w:rFonts w:hint="eastAsia"/>
          <w:sz w:val="24"/>
        </w:rPr>
        <w:t>交付安装：合同签订后</w:t>
      </w:r>
      <w:r>
        <w:rPr>
          <w:sz w:val="24"/>
        </w:rPr>
        <w:t xml:space="preserve"> 15日内完成供货、安装、调试、现场验收；</w:t>
      </w:r>
    </w:p>
    <w:p w14:paraId="7B49AF4C">
      <w:pPr>
        <w:widowControl/>
        <w:spacing w:line="360" w:lineRule="auto"/>
        <w:ind w:firstLine="480" w:firstLineChars="200"/>
        <w:jc w:val="left"/>
        <w:rPr>
          <w:sz w:val="24"/>
        </w:rPr>
      </w:pPr>
      <w:r>
        <w:rPr>
          <w:sz w:val="24"/>
        </w:rPr>
        <w:t xml:space="preserve">2. </w:t>
      </w:r>
      <w:r>
        <w:rPr>
          <w:rFonts w:hint="eastAsia"/>
          <w:sz w:val="24"/>
        </w:rPr>
        <w:t>交货地点：为天津中医药大学指定实验室地点。</w:t>
      </w:r>
    </w:p>
    <w:p w14:paraId="7E8EFA21">
      <w:pPr>
        <w:widowControl/>
        <w:spacing w:line="360" w:lineRule="auto"/>
        <w:ind w:firstLine="480" w:firstLineChars="200"/>
        <w:jc w:val="left"/>
        <w:rPr>
          <w:sz w:val="24"/>
        </w:rPr>
      </w:pPr>
      <w:r>
        <w:rPr>
          <w:sz w:val="24"/>
        </w:rPr>
        <w:t xml:space="preserve">3. </w:t>
      </w:r>
      <w:r>
        <w:rPr>
          <w:rFonts w:hint="eastAsia"/>
          <w:sz w:val="24"/>
        </w:rPr>
        <w:t>质保服务：整体保修期不少于</w:t>
      </w:r>
      <w:r>
        <w:rPr>
          <w:sz w:val="24"/>
        </w:rPr>
        <w:t>5年，免费上门保修；供应商在国内设有长期售后机构，0.5小时响应、1小时内到达现场维修；每学期免费巡回维护，期满前全面巡检。</w:t>
      </w:r>
    </w:p>
    <w:p w14:paraId="6D8E1618">
      <w:pPr>
        <w:widowControl/>
        <w:spacing w:line="360" w:lineRule="auto"/>
        <w:ind w:firstLine="480" w:firstLineChars="200"/>
        <w:jc w:val="left"/>
        <w:rPr>
          <w:sz w:val="24"/>
        </w:rPr>
      </w:pPr>
      <w:r>
        <w:rPr>
          <w:sz w:val="24"/>
        </w:rPr>
        <w:t xml:space="preserve">4. </w:t>
      </w:r>
      <w:r>
        <w:rPr>
          <w:rFonts w:hint="eastAsia"/>
          <w:sz w:val="24"/>
        </w:rPr>
        <w:t>技术培训：在用户现场开展不少于</w:t>
      </w:r>
      <w:r>
        <w:rPr>
          <w:sz w:val="24"/>
        </w:rPr>
        <w:t xml:space="preserve"> 2 </w:t>
      </w:r>
      <w:r>
        <w:rPr>
          <w:rFonts w:hint="eastAsia"/>
          <w:sz w:val="24"/>
        </w:rPr>
        <w:t>人</w:t>
      </w:r>
      <w:r>
        <w:rPr>
          <w:sz w:val="24"/>
        </w:rPr>
        <w:t xml:space="preserve"> / 1 </w:t>
      </w:r>
      <w:r>
        <w:rPr>
          <w:rFonts w:hint="eastAsia"/>
          <w:sz w:val="24"/>
        </w:rPr>
        <w:t>天的操作、维护培训。</w:t>
      </w:r>
    </w:p>
    <w:p w14:paraId="72368D9F">
      <w:pPr>
        <w:widowControl/>
        <w:spacing w:line="360" w:lineRule="auto"/>
        <w:ind w:firstLine="480" w:firstLineChars="200"/>
        <w:jc w:val="left"/>
        <w:rPr>
          <w:sz w:val="24"/>
        </w:rPr>
      </w:pPr>
      <w:r>
        <w:rPr>
          <w:sz w:val="24"/>
        </w:rPr>
        <w:t xml:space="preserve">5. </w:t>
      </w:r>
      <w:r>
        <w:rPr>
          <w:rFonts w:hint="eastAsia"/>
          <w:sz w:val="24"/>
        </w:rPr>
        <w:t>资料交付：随货提供全套中文安装手册、使用说明书、电子版资料及各类证书、检测报告。</w:t>
      </w:r>
    </w:p>
    <w:p w14:paraId="43F767E2">
      <w:pPr>
        <w:widowControl/>
        <w:spacing w:line="360" w:lineRule="auto"/>
        <w:ind w:firstLine="480" w:firstLineChars="200"/>
        <w:jc w:val="left"/>
        <w:rPr>
          <w:sz w:val="24"/>
        </w:rPr>
      </w:pPr>
      <w:r>
        <w:rPr>
          <w:sz w:val="24"/>
        </w:rPr>
        <w:t xml:space="preserve">6. </w:t>
      </w:r>
      <w:r>
        <w:rPr>
          <w:rFonts w:hint="eastAsia"/>
          <w:sz w:val="24"/>
        </w:rPr>
        <w:t>违约责任：逾期交货按每周</w:t>
      </w:r>
      <w:r>
        <w:rPr>
          <w:sz w:val="24"/>
        </w:rPr>
        <w:t xml:space="preserve"> 0.5% </w:t>
      </w:r>
      <w:r>
        <w:rPr>
          <w:rFonts w:hint="eastAsia"/>
          <w:sz w:val="24"/>
        </w:rPr>
        <w:t>计收违约金，最高不超过合同总价</w:t>
      </w:r>
      <w:r>
        <w:rPr>
          <w:sz w:val="24"/>
        </w:rPr>
        <w:t xml:space="preserve"> 5%。</w:t>
      </w:r>
    </w:p>
    <w:p w14:paraId="7B2FE600">
      <w:pPr>
        <w:spacing w:line="360" w:lineRule="auto"/>
        <w:ind w:firstLine="480" w:firstLineChars="200"/>
        <w:rPr>
          <w:sz w:val="24"/>
        </w:rPr>
      </w:pPr>
      <w:r>
        <w:rPr>
          <w:sz w:val="24"/>
        </w:rPr>
        <w:t>7.付款方式</w:t>
      </w:r>
    </w:p>
    <w:p w14:paraId="10CE9702">
      <w:pPr>
        <w:spacing w:line="360" w:lineRule="auto"/>
        <w:ind w:firstLine="480" w:firstLineChars="200"/>
        <w:rPr>
          <w:sz w:val="24"/>
        </w:rPr>
      </w:pPr>
      <w:r>
        <w:rPr>
          <w:rFonts w:hint="eastAsia"/>
          <w:sz w:val="24"/>
        </w:rPr>
        <w:t>货到安装调试完成验收合格之日起</w:t>
      </w:r>
      <w:r>
        <w:rPr>
          <w:sz w:val="24"/>
        </w:rPr>
        <w:t>30日内支付合同总额的100%（特殊情况以合同为准）。</w:t>
      </w:r>
    </w:p>
    <w:p w14:paraId="2EBCB250">
      <w:pPr>
        <w:autoSpaceDE w:val="0"/>
        <w:autoSpaceDN w:val="0"/>
        <w:spacing w:line="360" w:lineRule="auto"/>
        <w:ind w:firstLine="482" w:firstLineChars="200"/>
        <w:rPr>
          <w:b/>
          <w:sz w:val="24"/>
        </w:rPr>
      </w:pPr>
      <w:r>
        <w:rPr>
          <w:rFonts w:hint="eastAsia"/>
          <w:b/>
          <w:sz w:val="24"/>
        </w:rPr>
        <w:t>六、验收标准</w:t>
      </w:r>
    </w:p>
    <w:p w14:paraId="70D6033F">
      <w:pPr>
        <w:spacing w:line="360" w:lineRule="auto"/>
        <w:ind w:firstLine="480" w:firstLineChars="200"/>
        <w:outlineLvl w:val="0"/>
        <w:rPr>
          <w:sz w:val="24"/>
        </w:rPr>
      </w:pPr>
      <w:r>
        <w:rPr>
          <w:rFonts w:hint="eastAsia"/>
          <w:sz w:val="24"/>
        </w:rPr>
        <w:t>符合现行国家及行业标准要求，包括以下内容：</w:t>
      </w:r>
    </w:p>
    <w:p w14:paraId="1417E563">
      <w:pPr>
        <w:spacing w:line="360" w:lineRule="auto"/>
        <w:ind w:firstLine="480" w:firstLineChars="200"/>
        <w:outlineLvl w:val="0"/>
        <w:rPr>
          <w:sz w:val="24"/>
        </w:rPr>
      </w:pPr>
      <w:r>
        <w:rPr>
          <w:rFonts w:hint="eastAsia"/>
          <w:sz w:val="24"/>
        </w:rPr>
        <w:t>1.</w:t>
      </w:r>
      <w:r>
        <w:rPr>
          <w:sz w:val="24"/>
        </w:rPr>
        <w:t xml:space="preserve"> </w:t>
      </w:r>
      <w:r>
        <w:rPr>
          <w:rFonts w:hint="eastAsia"/>
          <w:sz w:val="24"/>
        </w:rPr>
        <w:t>数量验收：依据采购清单清点产品数量、型号、规格，与合同一致。</w:t>
      </w:r>
    </w:p>
    <w:p w14:paraId="73C7B02C">
      <w:pPr>
        <w:spacing w:line="360" w:lineRule="auto"/>
        <w:ind w:firstLine="480" w:firstLineChars="200"/>
        <w:outlineLvl w:val="0"/>
        <w:rPr>
          <w:sz w:val="24"/>
        </w:rPr>
      </w:pPr>
      <w:r>
        <w:rPr>
          <w:rFonts w:hint="eastAsia"/>
          <w:sz w:val="24"/>
        </w:rPr>
        <w:t>2.</w:t>
      </w:r>
      <w:r>
        <w:rPr>
          <w:sz w:val="24"/>
        </w:rPr>
        <w:t xml:space="preserve"> </w:t>
      </w:r>
      <w:r>
        <w:rPr>
          <w:rFonts w:hint="eastAsia"/>
          <w:sz w:val="24"/>
        </w:rPr>
        <w:t>外观验收：产品无划伤、锈蚀、变形，喷涂均匀，焊接光滑，五金配件完好。</w:t>
      </w:r>
    </w:p>
    <w:p w14:paraId="4EBE8471">
      <w:pPr>
        <w:spacing w:line="360" w:lineRule="auto"/>
        <w:ind w:firstLine="480" w:firstLineChars="200"/>
        <w:outlineLvl w:val="0"/>
        <w:rPr>
          <w:sz w:val="24"/>
        </w:rPr>
      </w:pPr>
      <w:r>
        <w:rPr>
          <w:rFonts w:hint="eastAsia"/>
          <w:sz w:val="24"/>
        </w:rPr>
        <w:t>3.</w:t>
      </w:r>
      <w:r>
        <w:rPr>
          <w:sz w:val="24"/>
        </w:rPr>
        <w:t xml:space="preserve"> </w:t>
      </w:r>
      <w:r>
        <w:rPr>
          <w:rFonts w:hint="eastAsia"/>
          <w:sz w:val="24"/>
        </w:rPr>
        <w:t>尺寸验收：用卷尺/游标卡尺测量关键尺寸（如台面长宽、钢板厚度），偏差在允许范围内±1</w:t>
      </w:r>
      <w:r>
        <w:rPr>
          <w:sz w:val="24"/>
        </w:rPr>
        <w:t xml:space="preserve">0 </w:t>
      </w:r>
      <w:r>
        <w:rPr>
          <w:rFonts w:hint="eastAsia"/>
          <w:sz w:val="24"/>
        </w:rPr>
        <w:t>mm。</w:t>
      </w:r>
    </w:p>
    <w:p w14:paraId="7DEBB1A6">
      <w:pPr>
        <w:spacing w:line="360" w:lineRule="auto"/>
        <w:ind w:firstLine="480" w:firstLineChars="200"/>
        <w:outlineLvl w:val="0"/>
        <w:rPr>
          <w:sz w:val="24"/>
        </w:rPr>
      </w:pPr>
      <w:r>
        <w:rPr>
          <w:sz w:val="24"/>
        </w:rPr>
        <w:t xml:space="preserve">4. </w:t>
      </w:r>
      <w:r>
        <w:rPr>
          <w:rFonts w:hint="eastAsia"/>
          <w:sz w:val="24"/>
        </w:rPr>
        <w:t>安全柜：查验耐火检测报告、防爆合格证原件。</w:t>
      </w:r>
    </w:p>
    <w:p w14:paraId="1E4B08AF">
      <w:pPr>
        <w:spacing w:line="360" w:lineRule="auto"/>
        <w:ind w:firstLine="480" w:firstLineChars="200"/>
        <w:outlineLvl w:val="0"/>
        <w:rPr>
          <w:sz w:val="24"/>
        </w:rPr>
      </w:pPr>
      <w:r>
        <w:rPr>
          <w:sz w:val="24"/>
        </w:rPr>
        <w:t xml:space="preserve">5. </w:t>
      </w:r>
      <w:r>
        <w:rPr>
          <w:rFonts w:hint="eastAsia"/>
          <w:sz w:val="24"/>
        </w:rPr>
        <w:t>检测报告核验：所有要求提供的第三方检测报告（CMA/CNAS）须加盖厂家公章，采购人有权要求提供原件。</w:t>
      </w:r>
    </w:p>
    <w:p w14:paraId="5D476DDD">
      <w:pPr>
        <w:spacing w:line="360" w:lineRule="auto"/>
        <w:ind w:firstLine="482" w:firstLineChars="200"/>
        <w:outlineLvl w:val="0"/>
        <w:rPr>
          <w:b/>
          <w:sz w:val="24"/>
        </w:rPr>
      </w:pPr>
      <w:r>
        <w:rPr>
          <w:rFonts w:hint="eastAsia"/>
          <w:b/>
          <w:sz w:val="24"/>
        </w:rPr>
        <w:t>七、其他要求</w:t>
      </w:r>
    </w:p>
    <w:p w14:paraId="27713AE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中标供应商须提供完整的安装图纸、产品说明书、质保卡、检测报告原件（或加盖公章的复印件）供归档。</w:t>
      </w:r>
    </w:p>
    <w:p w14:paraId="3DEE21DD">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安装过程中须保护实验室现有地面、墙面及设备，如有损坏照价赔偿。</w:t>
      </w:r>
    </w:p>
    <w:p w14:paraId="7395E29D">
      <w:pPr>
        <w:spacing w:line="360" w:lineRule="auto"/>
        <w:ind w:firstLine="480" w:firstLineChars="20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安全柜安装后须进行使用培训，确保操作人员熟悉安全事项。</w:t>
      </w:r>
    </w:p>
    <w:p w14:paraId="1077EB93">
      <w:pPr>
        <w:spacing w:line="360" w:lineRule="auto"/>
        <w:ind w:firstLine="480" w:firstLineChars="200"/>
        <w:rPr>
          <w:rFonts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所有产品颜色由采购人确认后方可生产。</w:t>
      </w:r>
    </w:p>
    <w:p w14:paraId="6BDD6996">
      <w:pPr>
        <w:spacing w:line="360" w:lineRule="auto"/>
        <w:ind w:firstLine="480" w:firstLineChars="200"/>
        <w:rPr>
          <w:rFonts w:ascii="宋体" w:hAnsi="宋体"/>
          <w:sz w:val="24"/>
        </w:rPr>
      </w:pPr>
    </w:p>
    <w:p w14:paraId="5A45288A">
      <w:pPr>
        <w:spacing w:after="156" w:afterLines="50"/>
        <w:jc w:val="left"/>
        <w:rPr>
          <w:rFonts w:ascii="宋体" w:hAnsi="宋体"/>
          <w:sz w:val="28"/>
          <w:szCs w:val="28"/>
        </w:rPr>
      </w:pPr>
      <w:r>
        <w:rPr>
          <w:rFonts w:ascii="宋体" w:hAnsi="宋体"/>
          <w:sz w:val="28"/>
          <w:szCs w:val="28"/>
        </w:rPr>
        <w:br w:type="page"/>
      </w:r>
    </w:p>
    <w:p w14:paraId="2D20BC7B">
      <w:pPr>
        <w:rPr>
          <w:rFonts w:ascii="宋体" w:hAnsi="宋体" w:cs="宋体"/>
          <w:color w:val="FF0000"/>
          <w:szCs w:val="21"/>
        </w:rPr>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仿宋_GB2312">
    <w:altName w:val="仿宋"/>
    <w:panose1 w:val="00000000000000000000"/>
    <w:charset w:val="86"/>
    <w:family w:val="auto"/>
    <w:pitch w:val="default"/>
    <w:sig w:usb0="00000000" w:usb1="00000000" w:usb2="00000012" w:usb3="00000000" w:csb0="00040001" w:csb1="00000000"/>
    <w:embedRegular r:id="rId1" w:fontKey="{F3C4D985-D23D-4049-9623-E68564272BFE}"/>
  </w:font>
  <w:font w:name="微软雅黑">
    <w:panose1 w:val="020B0503020204020204"/>
    <w:charset w:val="86"/>
    <w:family w:val="swiss"/>
    <w:pitch w:val="default"/>
    <w:sig w:usb0="80000287" w:usb1="2ACF3C50" w:usb2="00000016" w:usb3="00000000" w:csb0="0004001F" w:csb1="00000000"/>
    <w:embedRegular r:id="rId2" w:fontKey="{CA24639A-AD32-44D6-8DB5-48B106BF0869}"/>
  </w:font>
  <w:font w:name="Dotum">
    <w:altName w:val="돋움"/>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WPSEMBED3">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汉仪字酷堂长林体W">
    <w:panose1 w:val="00020600040101010101"/>
    <w:charset w:val="86"/>
    <w:family w:val="auto"/>
    <w:pitch w:val="default"/>
    <w:sig w:usb0="8000003F" w:usb1="1AC104FA" w:usb2="00000016" w:usb3="00000000" w:csb0="0004009F" w:csb1="00000000"/>
  </w:font>
  <w:font w:name="汉仪正圆 55简">
    <w:altName w:val="宋体"/>
    <w:panose1 w:val="00020600040101010101"/>
    <w:charset w:val="86"/>
    <w:family w:val="roman"/>
    <w:pitch w:val="default"/>
    <w:sig w:usb0="00000000" w:usb1="00000000"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02"/>
    <w:rsid w:val="0000135E"/>
    <w:rsid w:val="000247DC"/>
    <w:rsid w:val="00045631"/>
    <w:rsid w:val="00071693"/>
    <w:rsid w:val="000749FF"/>
    <w:rsid w:val="000A2D6B"/>
    <w:rsid w:val="000A6FE9"/>
    <w:rsid w:val="000A7CD6"/>
    <w:rsid w:val="000C184F"/>
    <w:rsid w:val="000E2EAA"/>
    <w:rsid w:val="000F738D"/>
    <w:rsid w:val="00111F73"/>
    <w:rsid w:val="001335EE"/>
    <w:rsid w:val="001400A9"/>
    <w:rsid w:val="00170C09"/>
    <w:rsid w:val="001960C1"/>
    <w:rsid w:val="001A4C59"/>
    <w:rsid w:val="001D0C0D"/>
    <w:rsid w:val="001E7CF5"/>
    <w:rsid w:val="001F60D5"/>
    <w:rsid w:val="00201493"/>
    <w:rsid w:val="002053EF"/>
    <w:rsid w:val="00224B89"/>
    <w:rsid w:val="00240264"/>
    <w:rsid w:val="00244BBF"/>
    <w:rsid w:val="002538CF"/>
    <w:rsid w:val="00270221"/>
    <w:rsid w:val="002964AE"/>
    <w:rsid w:val="002B0D82"/>
    <w:rsid w:val="002B4BEF"/>
    <w:rsid w:val="002E2E16"/>
    <w:rsid w:val="002E519C"/>
    <w:rsid w:val="00305686"/>
    <w:rsid w:val="00306C12"/>
    <w:rsid w:val="00315235"/>
    <w:rsid w:val="00324ADF"/>
    <w:rsid w:val="00330E0D"/>
    <w:rsid w:val="0033397A"/>
    <w:rsid w:val="003545AA"/>
    <w:rsid w:val="0038413C"/>
    <w:rsid w:val="003A0037"/>
    <w:rsid w:val="003D20BA"/>
    <w:rsid w:val="003D6EFB"/>
    <w:rsid w:val="003E7311"/>
    <w:rsid w:val="003F429C"/>
    <w:rsid w:val="00410F83"/>
    <w:rsid w:val="00412918"/>
    <w:rsid w:val="004459D2"/>
    <w:rsid w:val="0045575F"/>
    <w:rsid w:val="00477959"/>
    <w:rsid w:val="00483C3E"/>
    <w:rsid w:val="004A1DD6"/>
    <w:rsid w:val="004C2E5E"/>
    <w:rsid w:val="004E5CED"/>
    <w:rsid w:val="004F0C45"/>
    <w:rsid w:val="00502F70"/>
    <w:rsid w:val="005204C1"/>
    <w:rsid w:val="00545278"/>
    <w:rsid w:val="0057138B"/>
    <w:rsid w:val="0057313B"/>
    <w:rsid w:val="00574287"/>
    <w:rsid w:val="00584AB5"/>
    <w:rsid w:val="005C0E7E"/>
    <w:rsid w:val="005C780E"/>
    <w:rsid w:val="005D55EA"/>
    <w:rsid w:val="00616E51"/>
    <w:rsid w:val="00625259"/>
    <w:rsid w:val="0062621F"/>
    <w:rsid w:val="006322E8"/>
    <w:rsid w:val="00634D3F"/>
    <w:rsid w:val="00645A07"/>
    <w:rsid w:val="0065651A"/>
    <w:rsid w:val="00680419"/>
    <w:rsid w:val="00682E4E"/>
    <w:rsid w:val="006A12B3"/>
    <w:rsid w:val="006B06EF"/>
    <w:rsid w:val="006B0B20"/>
    <w:rsid w:val="006D17C5"/>
    <w:rsid w:val="006D263F"/>
    <w:rsid w:val="007135F6"/>
    <w:rsid w:val="0072437C"/>
    <w:rsid w:val="007433F3"/>
    <w:rsid w:val="00746194"/>
    <w:rsid w:val="007749F5"/>
    <w:rsid w:val="00785041"/>
    <w:rsid w:val="007A45E1"/>
    <w:rsid w:val="007B6678"/>
    <w:rsid w:val="007C515A"/>
    <w:rsid w:val="007E7BFF"/>
    <w:rsid w:val="007F1CB9"/>
    <w:rsid w:val="00843A83"/>
    <w:rsid w:val="00845E60"/>
    <w:rsid w:val="00861373"/>
    <w:rsid w:val="00861EA9"/>
    <w:rsid w:val="008662DD"/>
    <w:rsid w:val="008969EB"/>
    <w:rsid w:val="008A6D81"/>
    <w:rsid w:val="008C68C8"/>
    <w:rsid w:val="00912F84"/>
    <w:rsid w:val="009161CD"/>
    <w:rsid w:val="0091671E"/>
    <w:rsid w:val="00921BF8"/>
    <w:rsid w:val="00922E8E"/>
    <w:rsid w:val="00930995"/>
    <w:rsid w:val="009356EC"/>
    <w:rsid w:val="00944537"/>
    <w:rsid w:val="00945B13"/>
    <w:rsid w:val="0094738D"/>
    <w:rsid w:val="00951497"/>
    <w:rsid w:val="009712E5"/>
    <w:rsid w:val="00973637"/>
    <w:rsid w:val="00990B50"/>
    <w:rsid w:val="009A114C"/>
    <w:rsid w:val="009D6ECB"/>
    <w:rsid w:val="009E14A0"/>
    <w:rsid w:val="00A21C5C"/>
    <w:rsid w:val="00A27F3F"/>
    <w:rsid w:val="00A41912"/>
    <w:rsid w:val="00A71C25"/>
    <w:rsid w:val="00A76023"/>
    <w:rsid w:val="00A772E5"/>
    <w:rsid w:val="00AA0AF1"/>
    <w:rsid w:val="00AA1291"/>
    <w:rsid w:val="00AA137D"/>
    <w:rsid w:val="00AB1AAA"/>
    <w:rsid w:val="00AB683B"/>
    <w:rsid w:val="00AC1733"/>
    <w:rsid w:val="00AE2D62"/>
    <w:rsid w:val="00AE58B7"/>
    <w:rsid w:val="00AF0F74"/>
    <w:rsid w:val="00B15766"/>
    <w:rsid w:val="00B15F5E"/>
    <w:rsid w:val="00B169E3"/>
    <w:rsid w:val="00B462D8"/>
    <w:rsid w:val="00B965D1"/>
    <w:rsid w:val="00BA29B0"/>
    <w:rsid w:val="00BA394C"/>
    <w:rsid w:val="00BE503F"/>
    <w:rsid w:val="00BF4747"/>
    <w:rsid w:val="00C17BFA"/>
    <w:rsid w:val="00C560F1"/>
    <w:rsid w:val="00C60BAE"/>
    <w:rsid w:val="00C75C8E"/>
    <w:rsid w:val="00C82EF1"/>
    <w:rsid w:val="00CB1A31"/>
    <w:rsid w:val="00CC180E"/>
    <w:rsid w:val="00CC29E1"/>
    <w:rsid w:val="00CE1F46"/>
    <w:rsid w:val="00CE576F"/>
    <w:rsid w:val="00D17989"/>
    <w:rsid w:val="00D440D3"/>
    <w:rsid w:val="00D5625F"/>
    <w:rsid w:val="00D655A7"/>
    <w:rsid w:val="00D701E4"/>
    <w:rsid w:val="00D874CD"/>
    <w:rsid w:val="00D96549"/>
    <w:rsid w:val="00DA58DC"/>
    <w:rsid w:val="00DB3902"/>
    <w:rsid w:val="00DD2EC1"/>
    <w:rsid w:val="00DE48FB"/>
    <w:rsid w:val="00DE6C4C"/>
    <w:rsid w:val="00E00018"/>
    <w:rsid w:val="00E268BE"/>
    <w:rsid w:val="00E425EF"/>
    <w:rsid w:val="00E55C1F"/>
    <w:rsid w:val="00E57285"/>
    <w:rsid w:val="00E81EAA"/>
    <w:rsid w:val="00EA4C82"/>
    <w:rsid w:val="00EC4AE3"/>
    <w:rsid w:val="00ED4738"/>
    <w:rsid w:val="00EF0A57"/>
    <w:rsid w:val="00F11972"/>
    <w:rsid w:val="00F12DFA"/>
    <w:rsid w:val="00F40AFD"/>
    <w:rsid w:val="00F435AC"/>
    <w:rsid w:val="00F50D93"/>
    <w:rsid w:val="00F52236"/>
    <w:rsid w:val="00F73D28"/>
    <w:rsid w:val="00F873E2"/>
    <w:rsid w:val="00F87F9F"/>
    <w:rsid w:val="00FB491C"/>
    <w:rsid w:val="00FC126E"/>
    <w:rsid w:val="03FD0E3E"/>
    <w:rsid w:val="04794225"/>
    <w:rsid w:val="049A7BD3"/>
    <w:rsid w:val="065B5A88"/>
    <w:rsid w:val="088309E8"/>
    <w:rsid w:val="09A80857"/>
    <w:rsid w:val="0B316DB7"/>
    <w:rsid w:val="0B7A7CC3"/>
    <w:rsid w:val="0E72396F"/>
    <w:rsid w:val="0F5C0B51"/>
    <w:rsid w:val="10926DBF"/>
    <w:rsid w:val="11BF4D40"/>
    <w:rsid w:val="13550080"/>
    <w:rsid w:val="1D764824"/>
    <w:rsid w:val="1F6A4ADE"/>
    <w:rsid w:val="20954321"/>
    <w:rsid w:val="21401A3F"/>
    <w:rsid w:val="22EA5AA1"/>
    <w:rsid w:val="235F193C"/>
    <w:rsid w:val="23760F5B"/>
    <w:rsid w:val="24132CA6"/>
    <w:rsid w:val="24AA4DDC"/>
    <w:rsid w:val="2590711C"/>
    <w:rsid w:val="26234D89"/>
    <w:rsid w:val="29010F39"/>
    <w:rsid w:val="29957631"/>
    <w:rsid w:val="29C349DA"/>
    <w:rsid w:val="2C4133C1"/>
    <w:rsid w:val="32220E91"/>
    <w:rsid w:val="34083F6D"/>
    <w:rsid w:val="34262A8D"/>
    <w:rsid w:val="35767811"/>
    <w:rsid w:val="35DA1C76"/>
    <w:rsid w:val="3795172C"/>
    <w:rsid w:val="379B6047"/>
    <w:rsid w:val="3AC37B79"/>
    <w:rsid w:val="3B697D24"/>
    <w:rsid w:val="3CF14232"/>
    <w:rsid w:val="3D8175A7"/>
    <w:rsid w:val="412D70FE"/>
    <w:rsid w:val="42767986"/>
    <w:rsid w:val="42BA0E65"/>
    <w:rsid w:val="494951F7"/>
    <w:rsid w:val="49D21786"/>
    <w:rsid w:val="4B9F6E1F"/>
    <w:rsid w:val="531E2FF2"/>
    <w:rsid w:val="55AE3C0E"/>
    <w:rsid w:val="56885586"/>
    <w:rsid w:val="56B658DB"/>
    <w:rsid w:val="598C7B89"/>
    <w:rsid w:val="59A1148A"/>
    <w:rsid w:val="5DE20E9D"/>
    <w:rsid w:val="5F01496B"/>
    <w:rsid w:val="61451322"/>
    <w:rsid w:val="61A5698F"/>
    <w:rsid w:val="61B63590"/>
    <w:rsid w:val="6372539B"/>
    <w:rsid w:val="63E80DAE"/>
    <w:rsid w:val="643876B9"/>
    <w:rsid w:val="66EB763C"/>
    <w:rsid w:val="6B2807B2"/>
    <w:rsid w:val="6BC758CE"/>
    <w:rsid w:val="70577F0C"/>
    <w:rsid w:val="718705A3"/>
    <w:rsid w:val="72C264DB"/>
    <w:rsid w:val="73A82490"/>
    <w:rsid w:val="74B26A80"/>
    <w:rsid w:val="77C67628"/>
    <w:rsid w:val="7AFC4573"/>
    <w:rsid w:val="7BD1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4"/>
    <w:qFormat/>
    <w:uiPriority w:val="10"/>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 w:type="character" w:styleId="11">
    <w:name w:val="Hyperlink"/>
    <w:unhideWhenUsed/>
    <w:qFormat/>
    <w:uiPriority w:val="99"/>
    <w:rPr>
      <w:color w:val="0000FF"/>
      <w:u w:val="single"/>
    </w:rPr>
  </w:style>
  <w:style w:type="character" w:customStyle="1" w:styleId="12">
    <w:name w:val="页脚 字符"/>
    <w:link w:val="4"/>
    <w:qFormat/>
    <w:uiPriority w:val="0"/>
    <w:rPr>
      <w:kern w:val="2"/>
      <w:sz w:val="18"/>
      <w:szCs w:val="18"/>
    </w:rPr>
  </w:style>
  <w:style w:type="character" w:customStyle="1" w:styleId="13">
    <w:name w:val="页眉 字符"/>
    <w:link w:val="5"/>
    <w:qFormat/>
    <w:uiPriority w:val="0"/>
    <w:rPr>
      <w:kern w:val="2"/>
      <w:sz w:val="18"/>
      <w:szCs w:val="18"/>
    </w:rPr>
  </w:style>
  <w:style w:type="character" w:customStyle="1" w:styleId="14">
    <w:name w:val="标题 字符"/>
    <w:link w:val="6"/>
    <w:qFormat/>
    <w:uiPriority w:val="10"/>
    <w:rPr>
      <w:rFonts w:ascii="Cambria" w:hAnsi="Cambria"/>
      <w:b/>
      <w:bCs/>
      <w:kern w:val="2"/>
      <w:sz w:val="32"/>
      <w:szCs w:val="32"/>
    </w:rPr>
  </w:style>
  <w:style w:type="paragraph" w:customStyle="1" w:styleId="1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6">
    <w:name w:val="font41"/>
    <w:basedOn w:val="9"/>
    <w:qFormat/>
    <w:uiPriority w:val="0"/>
    <w:rPr>
      <w:rFonts w:hint="eastAsia" w:ascii="宋体" w:hAnsi="宋体" w:eastAsia="宋体" w:cs="宋体"/>
      <w:color w:val="000000"/>
      <w:sz w:val="24"/>
      <w:szCs w:val="24"/>
      <w:u w:val="none"/>
    </w:rPr>
  </w:style>
  <w:style w:type="character" w:customStyle="1" w:styleId="17">
    <w:name w:val="font51"/>
    <w:basedOn w:val="9"/>
    <w:qFormat/>
    <w:uiPriority w:val="0"/>
    <w:rPr>
      <w:rFonts w:hint="eastAsia" w:ascii="宋体" w:hAnsi="宋体" w:eastAsia="宋体" w:cs="宋体"/>
      <w:color w:val="000000"/>
      <w:sz w:val="20"/>
      <w:szCs w:val="20"/>
      <w:u w:val="none"/>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32</Pages>
  <Words>3993</Words>
  <Characters>4579</Characters>
  <Lines>4106</Lines>
  <Paragraphs>4046</Paragraphs>
  <TotalTime>5</TotalTime>
  <ScaleCrop>false</ScaleCrop>
  <LinksUpToDate>false</LinksUpToDate>
  <CharactersWithSpaces>4619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2021-06-28T02:53:00Z</dcterms:created>
  <dc:creator>薛昊</dc:creator>
  <cp:lastModifiedBy>冰冰</cp:lastModifiedBy>
  <cp:lastPrinted>2025-03-24T03:13:00Z</cp:lastPrinted>
  <dcterms:modified xsi:type="dcterms:W3CDTF">2026-06-29T01:48:02Z</dcterms:modified>
  <dc:title>项目需求书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F0725820C5C943AD9882CA7FFE48C35E_13</vt:lpwstr>
  </property>
  <property fmtid="{D5CDD505-2E9C-101B-9397-08002B2CF9AE}" pid="4" name="KSOTemplateDocerSaveRecord">
    <vt:lpwstr>eyJoZGlkIjoiZmQ2ODA5MTUwMDdlNjMxZDAzYTcwMDNmZTM0NWFhOTEiLCJ1c2VySWQiOiI1OTMxMzMyODAifQ==</vt:lpwstr>
  </property>
</Properties>
</file>